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AF8BFF" w14:textId="340C9CCA" w:rsidR="00A01ADF" w:rsidRDefault="00A01ADF" w:rsidP="00A01ADF">
      <w:pPr>
        <w:pStyle w:val="CRCoverPage"/>
        <w:tabs>
          <w:tab w:val="right" w:pos="9639"/>
        </w:tabs>
        <w:spacing w:after="0"/>
        <w:rPr>
          <w:b/>
          <w:i/>
          <w:noProof/>
          <w:sz w:val="28"/>
        </w:rPr>
      </w:pPr>
      <w:r>
        <w:rPr>
          <w:b/>
          <w:noProof/>
          <w:sz w:val="24"/>
        </w:rPr>
        <w:t>3GPP TSG-</w:t>
      </w:r>
      <w:r>
        <w:rPr>
          <w:rFonts w:hint="eastAsia"/>
          <w:b/>
          <w:noProof/>
          <w:sz w:val="24"/>
          <w:lang w:eastAsia="zh-CN"/>
        </w:rPr>
        <w:t>RA</w:t>
      </w:r>
      <w:r>
        <w:rPr>
          <w:b/>
          <w:noProof/>
          <w:sz w:val="24"/>
          <w:lang w:eastAsia="zh-CN"/>
        </w:rPr>
        <w:t>N</w:t>
      </w:r>
      <w:r w:rsidR="007E0CCC">
        <w:rPr>
          <w:b/>
          <w:noProof/>
          <w:sz w:val="24"/>
          <w:lang w:eastAsia="zh-CN"/>
        </w:rPr>
        <w:t>4</w:t>
      </w:r>
      <w:r>
        <w:rPr>
          <w:b/>
          <w:noProof/>
          <w:sz w:val="24"/>
        </w:rPr>
        <w:t xml:space="preserve"> Meeting #</w:t>
      </w:r>
      <w:fldSimple w:instr=" DOCPROPERTY  MtgSeq  \* MERGEFORMAT ">
        <w:r>
          <w:rPr>
            <w:b/>
            <w:noProof/>
            <w:sz w:val="24"/>
          </w:rPr>
          <w:t>1</w:t>
        </w:r>
      </w:fldSimple>
      <w:r w:rsidR="006165E1">
        <w:rPr>
          <w:b/>
          <w:noProof/>
          <w:sz w:val="24"/>
        </w:rPr>
        <w:t>1</w:t>
      </w:r>
      <w:r w:rsidR="00363CD0">
        <w:rPr>
          <w:b/>
          <w:noProof/>
          <w:sz w:val="24"/>
        </w:rPr>
        <w:t>4</w:t>
      </w:r>
      <w:r>
        <w:rPr>
          <w:b/>
          <w:i/>
          <w:noProof/>
          <w:sz w:val="28"/>
        </w:rPr>
        <w:tab/>
      </w:r>
      <w:fldSimple w:instr=" DOCPROPERTY  Tdoc#  \* MERGEFORMAT ">
        <w:r>
          <w:rPr>
            <w:b/>
            <w:i/>
            <w:noProof/>
            <w:sz w:val="28"/>
          </w:rPr>
          <w:t>R4-2</w:t>
        </w:r>
      </w:fldSimple>
      <w:r w:rsidR="00363CD0">
        <w:rPr>
          <w:b/>
          <w:i/>
          <w:noProof/>
          <w:sz w:val="28"/>
        </w:rPr>
        <w:t>5</w:t>
      </w:r>
      <w:r w:rsidR="00784B39">
        <w:rPr>
          <w:b/>
          <w:i/>
          <w:noProof/>
          <w:sz w:val="28"/>
          <w:lang w:eastAsia="zh-CN"/>
        </w:rPr>
        <w:t>01814</w:t>
      </w:r>
      <w:bookmarkStart w:id="0" w:name="_GoBack"/>
      <w:bookmarkEnd w:id="0"/>
    </w:p>
    <w:p w14:paraId="45B6A111" w14:textId="6C5C9F3D" w:rsidR="00940222" w:rsidRPr="0052514D" w:rsidRDefault="00363CD0" w:rsidP="00940222">
      <w:pPr>
        <w:pStyle w:val="a3"/>
        <w:tabs>
          <w:tab w:val="right" w:pos="9781"/>
          <w:tab w:val="right" w:pos="13323"/>
        </w:tabs>
        <w:spacing w:before="60" w:after="60"/>
        <w:outlineLvl w:val="0"/>
        <w:rPr>
          <w:rFonts w:cs="Arial"/>
          <w:b w:val="0"/>
          <w:sz w:val="24"/>
          <w:szCs w:val="24"/>
          <w:lang w:eastAsia="zh-CN"/>
        </w:rPr>
      </w:pPr>
      <w:r w:rsidRPr="00F542A0">
        <w:rPr>
          <w:rFonts w:cs="Arial" w:hint="eastAsia"/>
          <w:sz w:val="24"/>
          <w:szCs w:val="24"/>
          <w:lang w:eastAsia="zh-CN"/>
        </w:rPr>
        <w:t>Athens</w:t>
      </w:r>
      <w:r w:rsidRPr="00F542A0">
        <w:rPr>
          <w:rFonts w:cs="Arial"/>
          <w:sz w:val="24"/>
          <w:szCs w:val="24"/>
          <w:lang w:eastAsia="zh-CN"/>
        </w:rPr>
        <w:t>, GR, 17</w:t>
      </w:r>
      <w:r w:rsidRPr="00F542A0">
        <w:rPr>
          <w:rFonts w:cs="Arial"/>
          <w:sz w:val="24"/>
          <w:szCs w:val="24"/>
          <w:vertAlign w:val="superscript"/>
          <w:lang w:eastAsia="zh-CN"/>
        </w:rPr>
        <w:t>th</w:t>
      </w:r>
      <w:r w:rsidRPr="00F542A0">
        <w:rPr>
          <w:rFonts w:cs="Arial"/>
          <w:sz w:val="24"/>
          <w:szCs w:val="24"/>
          <w:lang w:eastAsia="zh-CN"/>
        </w:rPr>
        <w:t xml:space="preserve"> – 21</w:t>
      </w:r>
      <w:r w:rsidRPr="00F542A0">
        <w:rPr>
          <w:rFonts w:cs="Arial"/>
          <w:sz w:val="24"/>
          <w:szCs w:val="24"/>
          <w:vertAlign w:val="superscript"/>
          <w:lang w:eastAsia="zh-CN"/>
        </w:rPr>
        <w:t>st</w:t>
      </w:r>
      <w:r w:rsidRPr="00F542A0">
        <w:rPr>
          <w:rFonts w:cs="Arial"/>
          <w:sz w:val="24"/>
          <w:szCs w:val="24"/>
          <w:lang w:eastAsia="zh-CN"/>
        </w:rPr>
        <w:t xml:space="preserve"> February, 2025</w:t>
      </w:r>
    </w:p>
    <w:p w14:paraId="508E45E5" w14:textId="77777777" w:rsidR="00A01ADF" w:rsidRPr="00363CD0" w:rsidRDefault="00A01ADF" w:rsidP="00A01ADF">
      <w:pPr>
        <w:spacing w:after="120"/>
        <w:ind w:left="1985" w:hanging="1985"/>
        <w:rPr>
          <w:rFonts w:ascii="Arial" w:eastAsia="MS Mincho" w:hAnsi="Arial" w:cs="Arial"/>
          <w:b/>
          <w:sz w:val="22"/>
        </w:rPr>
      </w:pPr>
    </w:p>
    <w:p w14:paraId="3F5FBE55" w14:textId="38F4DF13" w:rsidR="00C136AF" w:rsidRDefault="00C136AF" w:rsidP="00C136AF">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03540B">
        <w:rPr>
          <w:rFonts w:ascii="Arial" w:hAnsi="Arial" w:cs="Arial" w:hint="eastAsia"/>
          <w:b/>
          <w:sz w:val="22"/>
          <w:szCs w:val="22"/>
          <w:lang w:eastAsia="zh-CN"/>
        </w:rPr>
        <w:t>D</w:t>
      </w:r>
      <w:r w:rsidR="0003540B">
        <w:rPr>
          <w:rFonts w:ascii="Arial" w:hAnsi="Arial" w:cs="Arial"/>
          <w:b/>
          <w:sz w:val="22"/>
          <w:szCs w:val="22"/>
        </w:rPr>
        <w:t>iscussion on</w:t>
      </w:r>
      <w:r w:rsidR="00E61115">
        <w:rPr>
          <w:rFonts w:ascii="Arial" w:hAnsi="Arial" w:cs="Arial"/>
          <w:b/>
          <w:sz w:val="22"/>
          <w:szCs w:val="22"/>
        </w:rPr>
        <w:t xml:space="preserve"> </w:t>
      </w:r>
      <w:r w:rsidR="00D92A99">
        <w:rPr>
          <w:rFonts w:ascii="Arial" w:hAnsi="Arial" w:cs="Arial" w:hint="eastAsia"/>
          <w:b/>
          <w:sz w:val="22"/>
          <w:szCs w:val="22"/>
          <w:lang w:eastAsia="zh-CN"/>
        </w:rPr>
        <w:t>Ku</w:t>
      </w:r>
      <w:r w:rsidR="00D92A99">
        <w:rPr>
          <w:rFonts w:ascii="Arial" w:hAnsi="Arial" w:cs="Arial"/>
          <w:b/>
          <w:sz w:val="22"/>
          <w:szCs w:val="22"/>
        </w:rPr>
        <w:t xml:space="preserve">-band </w:t>
      </w:r>
      <w:r w:rsidR="003D3250">
        <w:rPr>
          <w:rFonts w:ascii="Arial" w:hAnsi="Arial" w:cs="Arial"/>
          <w:b/>
          <w:sz w:val="22"/>
          <w:szCs w:val="22"/>
        </w:rPr>
        <w:t>coex study</w:t>
      </w:r>
    </w:p>
    <w:p w14:paraId="57159C0B" w14:textId="5AA264AA" w:rsidR="00C136AF" w:rsidRDefault="00C136AF" w:rsidP="00C136AF">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Samsung</w:t>
      </w:r>
    </w:p>
    <w:p w14:paraId="731031AD" w14:textId="257FB396" w:rsidR="00C136AF" w:rsidRPr="00335D84" w:rsidRDefault="00C136AF" w:rsidP="00C136AF">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9666B3">
        <w:rPr>
          <w:rFonts w:ascii="Arial" w:hAnsi="Arial" w:cs="Arial"/>
          <w:b/>
          <w:sz w:val="22"/>
          <w:szCs w:val="22"/>
        </w:rPr>
        <w:t>7</w:t>
      </w:r>
      <w:r w:rsidR="00F5659D">
        <w:rPr>
          <w:rFonts w:ascii="Arial" w:hAnsi="Arial" w:cs="Arial"/>
          <w:b/>
          <w:sz w:val="22"/>
          <w:szCs w:val="22"/>
        </w:rPr>
        <w:t>.</w:t>
      </w:r>
      <w:r w:rsidR="00E92481">
        <w:rPr>
          <w:rFonts w:ascii="Arial" w:hAnsi="Arial" w:cs="Arial"/>
          <w:b/>
          <w:sz w:val="22"/>
          <w:szCs w:val="22"/>
        </w:rPr>
        <w:t>1</w:t>
      </w:r>
      <w:r w:rsidR="00D92A99">
        <w:rPr>
          <w:rFonts w:ascii="Arial" w:hAnsi="Arial" w:cs="Arial"/>
          <w:b/>
          <w:sz w:val="22"/>
          <w:szCs w:val="22"/>
        </w:rPr>
        <w:t>1</w:t>
      </w:r>
      <w:r w:rsidR="00E92481">
        <w:rPr>
          <w:rFonts w:ascii="Arial" w:hAnsi="Arial" w:cs="Arial"/>
          <w:b/>
          <w:sz w:val="22"/>
          <w:szCs w:val="22"/>
        </w:rPr>
        <w:t>.</w:t>
      </w:r>
      <w:r w:rsidR="003D3250">
        <w:rPr>
          <w:rFonts w:ascii="Arial" w:hAnsi="Arial" w:cs="Arial"/>
          <w:b/>
          <w:sz w:val="22"/>
          <w:szCs w:val="22"/>
        </w:rPr>
        <w:t>2</w:t>
      </w:r>
    </w:p>
    <w:p w14:paraId="4F4EB853" w14:textId="1BAFC5E4" w:rsidR="00C136AF" w:rsidRPr="00335D84" w:rsidRDefault="00C136AF" w:rsidP="00C136AF">
      <w:pPr>
        <w:spacing w:after="60"/>
        <w:ind w:left="1985" w:hanging="1985"/>
        <w:rPr>
          <w:rFonts w:ascii="Arial" w:hAnsi="Arial" w:cs="Arial"/>
          <w:b/>
          <w:bCs/>
          <w:sz w:val="22"/>
          <w:szCs w:val="22"/>
        </w:rPr>
      </w:pPr>
      <w:r w:rsidRPr="0FAF5B7A">
        <w:rPr>
          <w:rFonts w:ascii="Arial" w:hAnsi="Arial" w:cs="Arial"/>
          <w:b/>
          <w:bCs/>
          <w:sz w:val="22"/>
          <w:szCs w:val="22"/>
        </w:rPr>
        <w:t>Document for:</w:t>
      </w:r>
      <w:r>
        <w:tab/>
      </w:r>
      <w:r w:rsidR="0003540B">
        <w:rPr>
          <w:rFonts w:ascii="Arial" w:hAnsi="Arial" w:cs="Arial"/>
          <w:b/>
          <w:bCs/>
          <w:sz w:val="22"/>
          <w:szCs w:val="22"/>
        </w:rPr>
        <w:t>Approval</w:t>
      </w:r>
    </w:p>
    <w:p w14:paraId="66C43A09" w14:textId="77777777" w:rsidR="002D7346" w:rsidRPr="00790A07" w:rsidRDefault="002D7346" w:rsidP="007F5DD2">
      <w:pPr>
        <w:pStyle w:val="1"/>
      </w:pPr>
      <w:r w:rsidRPr="00790A07">
        <w:t>1</w:t>
      </w:r>
      <w:r w:rsidRPr="00790A07">
        <w:tab/>
        <w:t>Introduction</w:t>
      </w:r>
    </w:p>
    <w:p w14:paraId="6458EABE" w14:textId="2A3F872C" w:rsidR="0096690A" w:rsidRDefault="00076746" w:rsidP="009112D7">
      <w:r>
        <w:t xml:space="preserve">In the </w:t>
      </w:r>
      <w:r w:rsidR="00AA45FC">
        <w:t>RAN#1</w:t>
      </w:r>
      <w:r w:rsidR="00887BD8">
        <w:t>06</w:t>
      </w:r>
      <w:r w:rsidR="00AA45FC">
        <w:t xml:space="preserve"> </w:t>
      </w:r>
      <w:r w:rsidR="00AA45FC">
        <w:rPr>
          <w:rFonts w:hint="eastAsia"/>
          <w:lang w:eastAsia="zh-CN"/>
        </w:rPr>
        <w:t>meeting</w:t>
      </w:r>
      <w:r w:rsidR="00697B4B">
        <w:t xml:space="preserve">, </w:t>
      </w:r>
      <w:r w:rsidR="00441E1D">
        <w:t xml:space="preserve">the </w:t>
      </w:r>
      <w:r w:rsidR="00887BD8">
        <w:t>WID of introduction of Ku bands for NR NTN was revised and approved in [2]</w:t>
      </w:r>
      <w:r w:rsidR="0083551C">
        <w:t>, where it further incorporate the RF requirements for mobile VSAT served by NGSO and GSO into the scope. The changes are as follows:</w:t>
      </w:r>
    </w:p>
    <w:tbl>
      <w:tblPr>
        <w:tblStyle w:val="a5"/>
        <w:tblW w:w="0" w:type="auto"/>
        <w:tblLook w:val="04A0" w:firstRow="1" w:lastRow="0" w:firstColumn="1" w:lastColumn="0" w:noHBand="0" w:noVBand="1"/>
      </w:tblPr>
      <w:tblGrid>
        <w:gridCol w:w="9629"/>
      </w:tblGrid>
      <w:tr w:rsidR="0083551C" w14:paraId="4F141B7B" w14:textId="77777777" w:rsidTr="0083551C">
        <w:tc>
          <w:tcPr>
            <w:tcW w:w="9629" w:type="dxa"/>
          </w:tcPr>
          <w:p w14:paraId="61CEA16F" w14:textId="0202C293" w:rsidR="0083551C" w:rsidRDefault="0083551C" w:rsidP="009112D7">
            <w:r>
              <w:rPr>
                <w:noProof/>
                <w:lang w:val="en-US" w:eastAsia="zh-CN"/>
              </w:rPr>
              <w:drawing>
                <wp:inline distT="0" distB="0" distL="0" distR="0" wp14:anchorId="3EEF3D1F" wp14:editId="1FE27BC0">
                  <wp:extent cx="5431214" cy="6477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438109" cy="6485223"/>
                          </a:xfrm>
                          <a:prstGeom prst="rect">
                            <a:avLst/>
                          </a:prstGeom>
                        </pic:spPr>
                      </pic:pic>
                    </a:graphicData>
                  </a:graphic>
                </wp:inline>
              </w:drawing>
            </w:r>
          </w:p>
        </w:tc>
      </w:tr>
    </w:tbl>
    <w:p w14:paraId="1B7823D6" w14:textId="3DB17E55" w:rsidR="006C0AE1" w:rsidRPr="00790A07" w:rsidRDefault="00727BFD" w:rsidP="006C0AE1">
      <w:pPr>
        <w:pStyle w:val="1"/>
      </w:pPr>
      <w:r>
        <w:lastRenderedPageBreak/>
        <w:t>2</w:t>
      </w:r>
      <w:r w:rsidR="006C0AE1" w:rsidRPr="00790A07">
        <w:tab/>
      </w:r>
      <w:r w:rsidR="001334EC">
        <w:t>Discussion</w:t>
      </w:r>
    </w:p>
    <w:p w14:paraId="187D29CA" w14:textId="70AE0A49" w:rsidR="009F1422" w:rsidRDefault="004C0D31" w:rsidP="00640A4A">
      <w:pPr>
        <w:rPr>
          <w:lang w:eastAsia="zh-CN"/>
        </w:rPr>
      </w:pPr>
      <w:r>
        <w:rPr>
          <w:lang w:eastAsia="zh-CN"/>
        </w:rPr>
        <w:t>In last meeting WF[1], most co-ex study assumptions are agreed and with single option. And in this section, we will share our observations over some of the items.</w:t>
      </w:r>
    </w:p>
    <w:tbl>
      <w:tblPr>
        <w:tblStyle w:val="a5"/>
        <w:tblW w:w="0" w:type="auto"/>
        <w:tblLook w:val="04A0" w:firstRow="1" w:lastRow="0" w:firstColumn="1" w:lastColumn="0" w:noHBand="0" w:noVBand="1"/>
      </w:tblPr>
      <w:tblGrid>
        <w:gridCol w:w="9629"/>
      </w:tblGrid>
      <w:tr w:rsidR="004C0D31" w14:paraId="0444CC24" w14:textId="77777777" w:rsidTr="004C0D31">
        <w:tc>
          <w:tcPr>
            <w:tcW w:w="9629" w:type="dxa"/>
          </w:tcPr>
          <w:p w14:paraId="21A4D7DE" w14:textId="77777777" w:rsidR="004C0D31" w:rsidRPr="004C0D31" w:rsidRDefault="004C0D31" w:rsidP="004C0D31">
            <w:pPr>
              <w:rPr>
                <w:b/>
                <w:bCs/>
                <w:lang w:val="en-US" w:eastAsia="zh-CN"/>
              </w:rPr>
            </w:pPr>
            <w:r w:rsidRPr="004C0D31">
              <w:rPr>
                <w:b/>
                <w:bCs/>
                <w:lang w:val="en-US" w:eastAsia="zh-CN"/>
              </w:rPr>
              <w:t>Sub-topic 2-4: VSAT Max Tx antenna gain</w:t>
            </w:r>
          </w:p>
          <w:p w14:paraId="4BFA2F72" w14:textId="77777777" w:rsidR="004C0D31" w:rsidRPr="004C0D31" w:rsidRDefault="004C0D31" w:rsidP="004C0D31">
            <w:pPr>
              <w:rPr>
                <w:lang w:val="en-US" w:eastAsia="zh-CN"/>
              </w:rPr>
            </w:pPr>
            <w:r w:rsidRPr="004C0D31">
              <w:rPr>
                <w:lang w:val="en-US" w:eastAsia="zh-CN"/>
              </w:rPr>
              <w:t>Agree first study is worst case (GSO) of 100 cm aperture (41.3dBi), 88.2 dBm EIRP, other options not precluded e.g. different size, EIRP and antenna type.</w:t>
            </w:r>
          </w:p>
          <w:p w14:paraId="57FB1369" w14:textId="77777777" w:rsidR="004C0D31" w:rsidRPr="004C0D31" w:rsidRDefault="004C0D31" w:rsidP="004C0D31">
            <w:pPr>
              <w:rPr>
                <w:lang w:val="en-US" w:eastAsia="zh-CN"/>
              </w:rPr>
            </w:pPr>
            <w:r w:rsidRPr="004C0D31">
              <w:rPr>
                <w:lang w:val="en-US" w:eastAsia="zh-CN"/>
              </w:rPr>
              <w:t>The antenna model for NTN VSAT uses circular polarization, but since many GEO satellites use linear polarization, evaluations are conducted by converting to linear polarization.</w:t>
            </w:r>
          </w:p>
          <w:p w14:paraId="459BC797" w14:textId="77777777" w:rsidR="004C0D31" w:rsidRPr="004C0D31" w:rsidRDefault="004C0D31" w:rsidP="00640A4A">
            <w:pPr>
              <w:rPr>
                <w:lang w:val="en-US" w:eastAsia="zh-CN"/>
              </w:rPr>
            </w:pPr>
          </w:p>
        </w:tc>
      </w:tr>
    </w:tbl>
    <w:p w14:paraId="36326D58" w14:textId="60A9F443" w:rsidR="004C0D31" w:rsidRDefault="004C0D31" w:rsidP="00640A4A">
      <w:pPr>
        <w:rPr>
          <w:lang w:val="sv-SE" w:eastAsia="zh-CN"/>
        </w:rPr>
      </w:pPr>
    </w:p>
    <w:p w14:paraId="3F49772B" w14:textId="77777777" w:rsidR="004C0D31" w:rsidRDefault="004C0D31" w:rsidP="00640A4A">
      <w:pPr>
        <w:rPr>
          <w:lang w:val="sv-SE" w:eastAsia="zh-CN"/>
        </w:rPr>
      </w:pPr>
      <w:r>
        <w:rPr>
          <w:lang w:val="sv-SE" w:eastAsia="zh-CN"/>
        </w:rPr>
        <w:t>For the VSAT polarization converting, it was captured in [1], that the NTN VSAT uses circular polarization while GEO satellite uses linear polarization. And the converting from circular to linear polarization is proposed in WF. We would like to seek clarifications on how this converting to be reflected in the co-ex study simulation, whether we apply a polarization loss or gain over the wanted signal link between VSAT and GEO?</w:t>
      </w:r>
    </w:p>
    <w:p w14:paraId="730CA0C1" w14:textId="084B907F" w:rsidR="004C0D31" w:rsidRPr="004C0D31" w:rsidRDefault="004C0D31" w:rsidP="00640A4A">
      <w:pPr>
        <w:rPr>
          <w:b/>
          <w:lang w:val="sv-SE" w:eastAsia="zh-CN"/>
        </w:rPr>
      </w:pPr>
      <w:r w:rsidRPr="004C0D31">
        <w:rPr>
          <w:b/>
          <w:lang w:val="sv-SE" w:eastAsia="zh-CN"/>
        </w:rPr>
        <w:t xml:space="preserve">Proposal 1: To clarify whether and how to reflect the polarization converting from circular to linear for the link between VSAT and GEO. </w:t>
      </w:r>
    </w:p>
    <w:p w14:paraId="00F21C32" w14:textId="74E220FE" w:rsidR="00A75DD2" w:rsidRDefault="00A75DD2" w:rsidP="00EF3EFD">
      <w:pPr>
        <w:rPr>
          <w:lang w:val="sv-SE" w:eastAsia="zh-CN"/>
        </w:rPr>
      </w:pPr>
    </w:p>
    <w:tbl>
      <w:tblPr>
        <w:tblStyle w:val="a5"/>
        <w:tblW w:w="0" w:type="auto"/>
        <w:tblLook w:val="04A0" w:firstRow="1" w:lastRow="0" w:firstColumn="1" w:lastColumn="0" w:noHBand="0" w:noVBand="1"/>
      </w:tblPr>
      <w:tblGrid>
        <w:gridCol w:w="9629"/>
      </w:tblGrid>
      <w:tr w:rsidR="004C0D31" w14:paraId="32CA82FA" w14:textId="77777777" w:rsidTr="004C0D31">
        <w:tc>
          <w:tcPr>
            <w:tcW w:w="9629" w:type="dxa"/>
          </w:tcPr>
          <w:p w14:paraId="56EF3CFC" w14:textId="77777777" w:rsidR="004C0D31" w:rsidRPr="004C0D31" w:rsidRDefault="004C0D31" w:rsidP="004C0D31">
            <w:pPr>
              <w:rPr>
                <w:b/>
                <w:bCs/>
                <w:lang w:val="en-US" w:eastAsia="zh-CN"/>
              </w:rPr>
            </w:pPr>
            <w:r w:rsidRPr="004C0D31">
              <w:rPr>
                <w:b/>
                <w:bCs/>
                <w:lang w:val="en-US" w:eastAsia="zh-CN"/>
              </w:rPr>
              <w:t>Sub-topic 2-9: TN BS/UE antenna patterns for 11 GHz</w:t>
            </w:r>
          </w:p>
          <w:p w14:paraId="330373A7" w14:textId="77777777" w:rsidR="004C0D31" w:rsidRPr="004C0D31" w:rsidRDefault="004C0D31" w:rsidP="004C0D31">
            <w:pPr>
              <w:rPr>
                <w:lang w:val="en-US" w:eastAsia="zh-CN"/>
              </w:rPr>
            </w:pPr>
            <w:r w:rsidRPr="004C0D31">
              <w:rPr>
                <w:lang w:eastAsia="zh-CN"/>
              </w:rPr>
              <w:t>Agree to use TN BS and UE antenna and beam forming pattern modelling in TS 38.921 for 11GHz carrier frequency for Ku band coexistence study</w:t>
            </w:r>
          </w:p>
          <w:p w14:paraId="26789AEC" w14:textId="77777777" w:rsidR="004C0D31" w:rsidRPr="004C0D31" w:rsidRDefault="004C0D31" w:rsidP="004C0D31">
            <w:pPr>
              <w:rPr>
                <w:lang w:val="en-US" w:eastAsia="zh-CN"/>
              </w:rPr>
            </w:pPr>
          </w:p>
          <w:p w14:paraId="7BDC0D9F" w14:textId="77777777" w:rsidR="004C0D31" w:rsidRPr="004C0D31" w:rsidRDefault="004C0D31" w:rsidP="004C0D31">
            <w:pPr>
              <w:rPr>
                <w:b/>
                <w:bCs/>
                <w:lang w:val="en-US" w:eastAsia="zh-CN"/>
              </w:rPr>
            </w:pPr>
            <w:r w:rsidRPr="004C0D31">
              <w:rPr>
                <w:b/>
                <w:bCs/>
                <w:lang w:val="en-US" w:eastAsia="zh-CN"/>
              </w:rPr>
              <w:t>Sub-topic 2-10: TN BS antenna pattern for 14 GHz</w:t>
            </w:r>
          </w:p>
          <w:p w14:paraId="44038E50" w14:textId="77777777" w:rsidR="004C0D31" w:rsidRPr="004C0D31" w:rsidRDefault="004C0D31" w:rsidP="004C0D31">
            <w:pPr>
              <w:rPr>
                <w:lang w:eastAsia="zh-CN"/>
              </w:rPr>
            </w:pPr>
            <w:r w:rsidRPr="004C0D31">
              <w:rPr>
                <w:lang w:eastAsia="zh-CN"/>
              </w:rPr>
              <w:t>Agree to use TN BS antenna and beam forming pattern modelling in TS 38.92</w:t>
            </w:r>
            <w:r w:rsidRPr="004C0D31">
              <w:rPr>
                <w:rFonts w:hint="eastAsia"/>
                <w:lang w:val="en-US" w:eastAsia="zh-CN"/>
              </w:rPr>
              <w:t>2</w:t>
            </w:r>
            <w:r w:rsidRPr="004C0D31">
              <w:rPr>
                <w:lang w:eastAsia="zh-CN"/>
              </w:rPr>
              <w:t xml:space="preserve"> for 14GHz carrier frequency for Ku band coexistence study. For TN UE, the isotropic antenna model will be used as mentioned in TS 38.922.</w:t>
            </w:r>
          </w:p>
          <w:p w14:paraId="56D13426" w14:textId="77777777" w:rsidR="004C0D31" w:rsidRPr="004C0D31" w:rsidRDefault="004C0D31" w:rsidP="00EF3EFD">
            <w:pPr>
              <w:rPr>
                <w:lang w:eastAsia="zh-CN"/>
              </w:rPr>
            </w:pPr>
          </w:p>
        </w:tc>
      </w:tr>
    </w:tbl>
    <w:p w14:paraId="2218A34A" w14:textId="3ECF9B8E" w:rsidR="004C0D31" w:rsidRDefault="004C0D31" w:rsidP="00EF3EFD">
      <w:pPr>
        <w:rPr>
          <w:lang w:val="sv-SE" w:eastAsia="zh-CN"/>
        </w:rPr>
      </w:pPr>
    </w:p>
    <w:p w14:paraId="3D8F5E5E" w14:textId="0235CC5B" w:rsidR="0050758F" w:rsidRDefault="0050758F" w:rsidP="00EF3EFD">
      <w:pPr>
        <w:rPr>
          <w:lang w:val="sv-SE" w:eastAsia="zh-CN"/>
        </w:rPr>
      </w:pPr>
      <w:r>
        <w:rPr>
          <w:rFonts w:hint="eastAsia"/>
          <w:lang w:val="sv-SE" w:eastAsia="zh-CN"/>
        </w:rPr>
        <w:t>T</w:t>
      </w:r>
      <w:r>
        <w:rPr>
          <w:lang w:val="sv-SE" w:eastAsia="zh-CN"/>
        </w:rPr>
        <w:t xml:space="preserve">here’s a potential difference in TN UE between 11GHz and 14GHz, we wonder whether we could simply align the assumptions between these two. In current WF, the TN UE in 11GHz assumes beamforming pattern, while the TN UE in higher 14GHz frequency assumes isotropic antenna model. </w:t>
      </w:r>
    </w:p>
    <w:p w14:paraId="64ED68A4" w14:textId="25CC01CA" w:rsidR="0050758F" w:rsidRDefault="0050758F" w:rsidP="00EF3EFD">
      <w:pPr>
        <w:rPr>
          <w:lang w:val="sv-SE" w:eastAsia="zh-CN"/>
        </w:rPr>
      </w:pPr>
      <w:r>
        <w:rPr>
          <w:lang w:val="sv-SE" w:eastAsia="zh-CN"/>
        </w:rPr>
        <w:t>For simplification purpose, and not to impact other WI or TR discussion, we are wondering if it is possible for us to simply assume same beamforming or same omni-directional for both 11GHz and 14GHz band?</w:t>
      </w:r>
    </w:p>
    <w:p w14:paraId="1E6D7AA7" w14:textId="41C051C4" w:rsidR="0050758F" w:rsidRPr="0050758F" w:rsidRDefault="0050758F" w:rsidP="00EF3EFD">
      <w:pPr>
        <w:rPr>
          <w:b/>
          <w:lang w:val="sv-SE" w:eastAsia="zh-CN"/>
        </w:rPr>
      </w:pPr>
      <w:r w:rsidRPr="0050758F">
        <w:rPr>
          <w:b/>
          <w:lang w:val="sv-SE" w:eastAsia="zh-CN"/>
        </w:rPr>
        <w:t>Proposal 2: To clarify if 11GHz and 14GHz TN UE antenna model can</w:t>
      </w:r>
      <w:r w:rsidR="00614CE1">
        <w:rPr>
          <w:b/>
          <w:lang w:val="sv-SE" w:eastAsia="zh-CN"/>
        </w:rPr>
        <w:t xml:space="preserve"> be</w:t>
      </w:r>
      <w:r w:rsidRPr="0050758F">
        <w:rPr>
          <w:b/>
          <w:lang w:val="sv-SE" w:eastAsia="zh-CN"/>
        </w:rPr>
        <w:t xml:space="preserve"> simplified and unified to </w:t>
      </w:r>
      <w:r w:rsidR="00D65576" w:rsidRPr="00D65576">
        <w:rPr>
          <w:b/>
          <w:lang w:val="sv-SE" w:eastAsia="zh-CN"/>
        </w:rPr>
        <w:t>isotropic antenna model</w:t>
      </w:r>
      <w:r w:rsidR="00D65576">
        <w:rPr>
          <w:b/>
          <w:lang w:val="sv-SE" w:eastAsia="zh-CN"/>
        </w:rPr>
        <w:t xml:space="preserve"> in TS 38.922.</w:t>
      </w:r>
    </w:p>
    <w:p w14:paraId="61AC9DF5" w14:textId="77777777" w:rsidR="0050758F" w:rsidRPr="00614CE1" w:rsidRDefault="0050758F" w:rsidP="00EF3EFD">
      <w:pPr>
        <w:rPr>
          <w:lang w:val="sv-SE" w:eastAsia="zh-CN"/>
        </w:rPr>
      </w:pPr>
    </w:p>
    <w:p w14:paraId="5369DF70" w14:textId="717C3E9F" w:rsidR="004C0D31" w:rsidRDefault="004C0D31" w:rsidP="00EF3EFD">
      <w:pPr>
        <w:rPr>
          <w:lang w:val="sv-SE" w:eastAsia="zh-CN"/>
        </w:rPr>
      </w:pPr>
      <w:r>
        <w:rPr>
          <w:lang w:val="sv-SE" w:eastAsia="zh-CN"/>
        </w:rPr>
        <w:t>And, the TN paramete</w:t>
      </w:r>
      <w:r w:rsidR="0050758F">
        <w:rPr>
          <w:lang w:val="sv-SE" w:eastAsia="zh-CN"/>
        </w:rPr>
        <w:t xml:space="preserve">rs for 11GHz and 14GHz were newly adopted in 3GPP RAN4 TR, and it was not really used in previous NTN studies. Some of the critical deployment parameters, including antenna size, cell size are new to the NTN coex study scenarios. It could be better to </w:t>
      </w:r>
      <w:r w:rsidR="0065420E">
        <w:rPr>
          <w:lang w:val="sv-SE" w:eastAsia="zh-CN"/>
        </w:rPr>
        <w:t>establish a offline activity for calibration.</w:t>
      </w:r>
    </w:p>
    <w:p w14:paraId="467B4F66" w14:textId="201B4036" w:rsidR="0065420E" w:rsidRDefault="0065420E" w:rsidP="00EF3EFD">
      <w:pPr>
        <w:rPr>
          <w:lang w:val="sv-SE" w:eastAsia="zh-CN"/>
        </w:rPr>
      </w:pPr>
      <w:r w:rsidRPr="0065420E">
        <w:rPr>
          <w:b/>
          <w:lang w:val="sv-SE" w:eastAsia="zh-CN"/>
        </w:rPr>
        <w:t>Observation 1</w:t>
      </w:r>
      <w:r>
        <w:rPr>
          <w:lang w:val="sv-SE" w:eastAsia="zh-CN"/>
        </w:rPr>
        <w:t>: Due to the newly studied technical characteristics from TN 11GHz and 14GHz, it would be beneficial to have calibration phase among the co-ex contributors, and it can be an offline activity between the meetings.</w:t>
      </w:r>
    </w:p>
    <w:p w14:paraId="65B892BC" w14:textId="77777777" w:rsidR="004C0D31" w:rsidRPr="00680406" w:rsidRDefault="004C0D31" w:rsidP="00EF3EFD">
      <w:pPr>
        <w:rPr>
          <w:lang w:val="sv-SE" w:eastAsia="zh-CN"/>
        </w:rPr>
      </w:pPr>
    </w:p>
    <w:p w14:paraId="08857DE8" w14:textId="142B6B71" w:rsidR="009B1101" w:rsidRPr="00D64FA5" w:rsidRDefault="0090470B" w:rsidP="009B1101">
      <w:pPr>
        <w:pStyle w:val="1"/>
        <w:jc w:val="both"/>
        <w:rPr>
          <w:lang w:val="en-US"/>
        </w:rPr>
      </w:pPr>
      <w:r>
        <w:rPr>
          <w:lang w:val="en-US"/>
        </w:rPr>
        <w:lastRenderedPageBreak/>
        <w:t>3</w:t>
      </w:r>
      <w:r w:rsidR="009B1101">
        <w:rPr>
          <w:lang w:val="en-US"/>
        </w:rPr>
        <w:tab/>
      </w:r>
      <w:r w:rsidR="009B1101" w:rsidRPr="00D64FA5">
        <w:rPr>
          <w:lang w:val="en-US"/>
        </w:rPr>
        <w:t>Conclusion</w:t>
      </w:r>
    </w:p>
    <w:p w14:paraId="282648D0" w14:textId="6AD4C15F" w:rsidR="00C33382" w:rsidRPr="009F1422" w:rsidRDefault="00C33382" w:rsidP="00C33382">
      <w:pPr>
        <w:rPr>
          <w:lang w:val="sv-SE" w:eastAsia="zh-CN"/>
        </w:rPr>
      </w:pPr>
      <w:r w:rsidRPr="009F1422">
        <w:rPr>
          <w:rFonts w:hint="eastAsia"/>
          <w:lang w:val="sv-SE" w:eastAsia="zh-CN"/>
        </w:rPr>
        <w:t>I</w:t>
      </w:r>
      <w:r w:rsidRPr="009F1422">
        <w:rPr>
          <w:lang w:val="sv-SE" w:eastAsia="zh-CN"/>
        </w:rPr>
        <w:t xml:space="preserve">n </w:t>
      </w:r>
      <w:r w:rsidRPr="009F1422">
        <w:rPr>
          <w:rFonts w:hint="eastAsia"/>
          <w:lang w:val="sv-SE" w:eastAsia="zh-CN"/>
        </w:rPr>
        <w:t>this</w:t>
      </w:r>
      <w:r w:rsidRPr="009F1422">
        <w:rPr>
          <w:lang w:val="sv-SE" w:eastAsia="zh-CN"/>
        </w:rPr>
        <w:t xml:space="preserve"> contribution, we </w:t>
      </w:r>
      <w:r w:rsidRPr="009F1422">
        <w:rPr>
          <w:rFonts w:hint="eastAsia"/>
          <w:lang w:val="sv-SE" w:eastAsia="zh-CN"/>
        </w:rPr>
        <w:t>provide</w:t>
      </w:r>
      <w:r w:rsidRPr="009F1422">
        <w:rPr>
          <w:lang w:val="sv-SE" w:eastAsia="zh-CN"/>
        </w:rPr>
        <w:t xml:space="preserve"> views on</w:t>
      </w:r>
      <w:r w:rsidR="0065420E">
        <w:rPr>
          <w:lang w:val="sv-SE" w:eastAsia="zh-CN"/>
        </w:rPr>
        <w:t xml:space="preserve"> co-ex study</w:t>
      </w:r>
      <w:r w:rsidR="009F1422" w:rsidRPr="009F1422">
        <w:rPr>
          <w:lang w:val="sv-SE" w:eastAsia="zh-CN"/>
        </w:rPr>
        <w:t xml:space="preserve"> </w:t>
      </w:r>
      <w:r w:rsidR="0065420E">
        <w:rPr>
          <w:lang w:val="sv-SE" w:eastAsia="zh-CN"/>
        </w:rPr>
        <w:t>for Ku bands NTN</w:t>
      </w:r>
      <w:r w:rsidR="009F1422" w:rsidRPr="009F1422">
        <w:rPr>
          <w:lang w:val="sv-SE" w:eastAsia="zh-CN"/>
        </w:rPr>
        <w:t>:</w:t>
      </w:r>
    </w:p>
    <w:p w14:paraId="6A4ED7FD" w14:textId="77777777" w:rsidR="0065420E" w:rsidRPr="004C0D31" w:rsidRDefault="0065420E" w:rsidP="0065420E">
      <w:pPr>
        <w:rPr>
          <w:b/>
          <w:lang w:val="sv-SE" w:eastAsia="zh-CN"/>
        </w:rPr>
      </w:pPr>
      <w:r w:rsidRPr="004C0D31">
        <w:rPr>
          <w:b/>
          <w:lang w:val="sv-SE" w:eastAsia="zh-CN"/>
        </w:rPr>
        <w:t xml:space="preserve">Proposal 1: To clarify whether and how to reflect the polarization converting from circular to linear for the link between VSAT and GEO. </w:t>
      </w:r>
    </w:p>
    <w:p w14:paraId="20B47DCC" w14:textId="77777777" w:rsidR="0065420E" w:rsidRPr="0050758F" w:rsidRDefault="0065420E" w:rsidP="0065420E">
      <w:pPr>
        <w:rPr>
          <w:b/>
          <w:lang w:val="sv-SE" w:eastAsia="zh-CN"/>
        </w:rPr>
      </w:pPr>
      <w:r w:rsidRPr="0050758F">
        <w:rPr>
          <w:b/>
          <w:lang w:val="sv-SE" w:eastAsia="zh-CN"/>
        </w:rPr>
        <w:t>Proposal 2: To clarify if 11GHz and 14GHz TN UE antenna model can</w:t>
      </w:r>
      <w:r>
        <w:rPr>
          <w:b/>
          <w:lang w:val="sv-SE" w:eastAsia="zh-CN"/>
        </w:rPr>
        <w:t xml:space="preserve"> be</w:t>
      </w:r>
      <w:r w:rsidRPr="0050758F">
        <w:rPr>
          <w:b/>
          <w:lang w:val="sv-SE" w:eastAsia="zh-CN"/>
        </w:rPr>
        <w:t xml:space="preserve"> simplified and unified to </w:t>
      </w:r>
      <w:r w:rsidRPr="00D65576">
        <w:rPr>
          <w:b/>
          <w:lang w:val="sv-SE" w:eastAsia="zh-CN"/>
        </w:rPr>
        <w:t>isotropic antenna model</w:t>
      </w:r>
      <w:r>
        <w:rPr>
          <w:b/>
          <w:lang w:val="sv-SE" w:eastAsia="zh-CN"/>
        </w:rPr>
        <w:t xml:space="preserve"> in TS 38.922.</w:t>
      </w:r>
    </w:p>
    <w:p w14:paraId="17E778DB" w14:textId="77777777" w:rsidR="0065420E" w:rsidRDefault="0065420E" w:rsidP="0065420E">
      <w:pPr>
        <w:rPr>
          <w:lang w:val="sv-SE" w:eastAsia="zh-CN"/>
        </w:rPr>
      </w:pPr>
      <w:r w:rsidRPr="0065420E">
        <w:rPr>
          <w:b/>
          <w:lang w:val="sv-SE" w:eastAsia="zh-CN"/>
        </w:rPr>
        <w:t>Observation 1</w:t>
      </w:r>
      <w:r>
        <w:rPr>
          <w:lang w:val="sv-SE" w:eastAsia="zh-CN"/>
        </w:rPr>
        <w:t>: Due to the newly studied technical characteristics from TN 11GHz and 14GHz, it would be beneficial to have calibration phase among the co-ex contributors, and it can be an offline activity between the meetings.</w:t>
      </w:r>
    </w:p>
    <w:p w14:paraId="47B99CED" w14:textId="77777777" w:rsidR="0090470B" w:rsidRPr="0065420E" w:rsidRDefault="0090470B" w:rsidP="0090470B">
      <w:pPr>
        <w:rPr>
          <w:b/>
          <w:lang w:val="sv-SE" w:eastAsia="zh-CN"/>
        </w:rPr>
      </w:pPr>
    </w:p>
    <w:p w14:paraId="15C90359" w14:textId="5ECC85AE" w:rsidR="009B1101" w:rsidRPr="0042663F" w:rsidRDefault="00615191" w:rsidP="009B1101">
      <w:pPr>
        <w:pStyle w:val="1"/>
        <w:jc w:val="both"/>
        <w:rPr>
          <w:lang w:val="en-US"/>
        </w:rPr>
      </w:pPr>
      <w:r>
        <w:rPr>
          <w:lang w:val="en-US" w:eastAsia="zh-CN"/>
        </w:rPr>
        <w:t>4</w:t>
      </w:r>
      <w:r w:rsidR="009B1101">
        <w:rPr>
          <w:lang w:val="en-US"/>
        </w:rPr>
        <w:tab/>
      </w:r>
      <w:r w:rsidR="009B1101" w:rsidRPr="0042663F">
        <w:rPr>
          <w:lang w:val="en-US"/>
        </w:rPr>
        <w:t>Reference</w:t>
      </w:r>
    </w:p>
    <w:p w14:paraId="3097086F" w14:textId="1B56C00D" w:rsidR="0079615B" w:rsidRDefault="00534556" w:rsidP="00441E1D">
      <w:pPr>
        <w:rPr>
          <w:lang w:val="sv-SE" w:eastAsia="zh-CN"/>
        </w:rPr>
      </w:pPr>
      <w:r>
        <w:rPr>
          <w:lang w:val="sv-SE" w:eastAsia="zh-CN"/>
        </w:rPr>
        <w:t xml:space="preserve">[1] </w:t>
      </w:r>
      <w:r w:rsidR="001334EC" w:rsidRPr="001334EC">
        <w:rPr>
          <w:lang w:val="sv-SE" w:eastAsia="zh-CN"/>
        </w:rPr>
        <w:t>R4-2419909, Way Forward for [112][313] NR_NTN_Ku_Band_General, Moderator (Eutelsat Group)</w:t>
      </w:r>
    </w:p>
    <w:p w14:paraId="34F27999" w14:textId="13C2395A" w:rsidR="00887BD8" w:rsidRDefault="00887BD8" w:rsidP="00441E1D">
      <w:pPr>
        <w:rPr>
          <w:lang w:val="sv-SE" w:eastAsia="zh-CN"/>
        </w:rPr>
      </w:pPr>
      <w:r>
        <w:rPr>
          <w:lang w:val="sv-SE" w:eastAsia="zh-CN"/>
        </w:rPr>
        <w:t xml:space="preserve">[2] RP-243314, Revised WID: Introduction of Ku bands for NR NTN, </w:t>
      </w:r>
      <w:r w:rsidRPr="00887BD8">
        <w:rPr>
          <w:lang w:val="sv-SE" w:eastAsia="zh-CN"/>
        </w:rPr>
        <w:t>Intelsat, Eutelsat Group, Thales, CHTTL, Hispasat, Airbus, Sharp, Mitre, JSAT</w:t>
      </w:r>
    </w:p>
    <w:p w14:paraId="6370EBB6" w14:textId="1115CFE4" w:rsidR="00534556" w:rsidRPr="000B3968" w:rsidRDefault="00534556" w:rsidP="00EF3EFD">
      <w:pPr>
        <w:rPr>
          <w:lang w:val="sv-SE" w:eastAsia="zh-CN"/>
        </w:rPr>
      </w:pPr>
    </w:p>
    <w:sectPr w:rsidR="00534556" w:rsidRPr="000B3968" w:rsidSect="00C26C33">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7CDFA1" w14:textId="77777777" w:rsidR="00824EE6" w:rsidRDefault="00824EE6" w:rsidP="006165E1">
      <w:pPr>
        <w:spacing w:after="0"/>
      </w:pPr>
      <w:r>
        <w:separator/>
      </w:r>
    </w:p>
  </w:endnote>
  <w:endnote w:type="continuationSeparator" w:id="0">
    <w:p w14:paraId="6F35BDFD" w14:textId="77777777" w:rsidR="00824EE6" w:rsidRDefault="00824EE6" w:rsidP="006165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A6794F" w14:textId="77777777" w:rsidR="00824EE6" w:rsidRDefault="00824EE6" w:rsidP="006165E1">
      <w:pPr>
        <w:spacing w:after="0"/>
      </w:pPr>
      <w:r>
        <w:separator/>
      </w:r>
    </w:p>
  </w:footnote>
  <w:footnote w:type="continuationSeparator" w:id="0">
    <w:p w14:paraId="7F100A26" w14:textId="77777777" w:rsidR="00824EE6" w:rsidRDefault="00824EE6" w:rsidP="006165E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AA3B83"/>
    <w:multiLevelType w:val="hybridMultilevel"/>
    <w:tmpl w:val="A0B00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F">
      <w:start w:val="1"/>
      <w:numFmt w:val="decimal"/>
      <w:lvlText w:val="%3."/>
      <w:lvlJc w:val="left"/>
      <w:pPr>
        <w:ind w:left="2160" w:hanging="360"/>
      </w:p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5C0788"/>
    <w:multiLevelType w:val="hybridMultilevel"/>
    <w:tmpl w:val="2DE0568C"/>
    <w:lvl w:ilvl="0" w:tplc="62CC97F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3E2906"/>
    <w:multiLevelType w:val="hybridMultilevel"/>
    <w:tmpl w:val="20BC1A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1D6C"/>
    <w:rsid w:val="0000190A"/>
    <w:rsid w:val="0000457E"/>
    <w:rsid w:val="00005B6D"/>
    <w:rsid w:val="00005C3B"/>
    <w:rsid w:val="000114F7"/>
    <w:rsid w:val="000126BE"/>
    <w:rsid w:val="00025AE6"/>
    <w:rsid w:val="00031F62"/>
    <w:rsid w:val="0003403D"/>
    <w:rsid w:val="0003540B"/>
    <w:rsid w:val="000376CE"/>
    <w:rsid w:val="000414A7"/>
    <w:rsid w:val="000461DB"/>
    <w:rsid w:val="00057514"/>
    <w:rsid w:val="00062129"/>
    <w:rsid w:val="0006795C"/>
    <w:rsid w:val="0007197B"/>
    <w:rsid w:val="000734E9"/>
    <w:rsid w:val="000747CE"/>
    <w:rsid w:val="00074BC9"/>
    <w:rsid w:val="000761DD"/>
    <w:rsid w:val="00076746"/>
    <w:rsid w:val="00084121"/>
    <w:rsid w:val="0008662F"/>
    <w:rsid w:val="00087C16"/>
    <w:rsid w:val="00092C90"/>
    <w:rsid w:val="000955D7"/>
    <w:rsid w:val="00097635"/>
    <w:rsid w:val="000A2D5A"/>
    <w:rsid w:val="000A62F0"/>
    <w:rsid w:val="000A66B6"/>
    <w:rsid w:val="000B0F0F"/>
    <w:rsid w:val="000B3968"/>
    <w:rsid w:val="000B39D7"/>
    <w:rsid w:val="000B500E"/>
    <w:rsid w:val="000C162D"/>
    <w:rsid w:val="000D2169"/>
    <w:rsid w:val="000E7E6F"/>
    <w:rsid w:val="000F0F24"/>
    <w:rsid w:val="001019D0"/>
    <w:rsid w:val="001045CF"/>
    <w:rsid w:val="00111A49"/>
    <w:rsid w:val="00111B5C"/>
    <w:rsid w:val="00113700"/>
    <w:rsid w:val="001157B3"/>
    <w:rsid w:val="0011768D"/>
    <w:rsid w:val="00117B0A"/>
    <w:rsid w:val="00121402"/>
    <w:rsid w:val="00125501"/>
    <w:rsid w:val="001334EC"/>
    <w:rsid w:val="00137303"/>
    <w:rsid w:val="00140F48"/>
    <w:rsid w:val="00145AA9"/>
    <w:rsid w:val="001469E5"/>
    <w:rsid w:val="00167EEB"/>
    <w:rsid w:val="00170A1E"/>
    <w:rsid w:val="00182F5C"/>
    <w:rsid w:val="001852D3"/>
    <w:rsid w:val="001A3FB5"/>
    <w:rsid w:val="001B593C"/>
    <w:rsid w:val="001B6EBE"/>
    <w:rsid w:val="001C1FE2"/>
    <w:rsid w:val="001C2C3B"/>
    <w:rsid w:val="001D12C7"/>
    <w:rsid w:val="001D1AB7"/>
    <w:rsid w:val="001D1C53"/>
    <w:rsid w:val="001D28D3"/>
    <w:rsid w:val="001D759D"/>
    <w:rsid w:val="001E2428"/>
    <w:rsid w:val="001F11C7"/>
    <w:rsid w:val="001F62FC"/>
    <w:rsid w:val="002014D0"/>
    <w:rsid w:val="00213C59"/>
    <w:rsid w:val="00216843"/>
    <w:rsid w:val="00231CC1"/>
    <w:rsid w:val="00236C4A"/>
    <w:rsid w:val="002458C8"/>
    <w:rsid w:val="00245A6E"/>
    <w:rsid w:val="002472D9"/>
    <w:rsid w:val="002523E5"/>
    <w:rsid w:val="00253F79"/>
    <w:rsid w:val="0025747D"/>
    <w:rsid w:val="00265E0B"/>
    <w:rsid w:val="0026687D"/>
    <w:rsid w:val="0026693D"/>
    <w:rsid w:val="002673D3"/>
    <w:rsid w:val="0027793E"/>
    <w:rsid w:val="00280C3B"/>
    <w:rsid w:val="00283DA2"/>
    <w:rsid w:val="0028586C"/>
    <w:rsid w:val="00285F5F"/>
    <w:rsid w:val="0029681D"/>
    <w:rsid w:val="00297370"/>
    <w:rsid w:val="002A4E5D"/>
    <w:rsid w:val="002B2A9B"/>
    <w:rsid w:val="002B2DCA"/>
    <w:rsid w:val="002B35A3"/>
    <w:rsid w:val="002B3F19"/>
    <w:rsid w:val="002B4A4E"/>
    <w:rsid w:val="002B4C2A"/>
    <w:rsid w:val="002C528E"/>
    <w:rsid w:val="002C78DC"/>
    <w:rsid w:val="002C7B77"/>
    <w:rsid w:val="002D2A0C"/>
    <w:rsid w:val="002D7346"/>
    <w:rsid w:val="002E2852"/>
    <w:rsid w:val="002E4648"/>
    <w:rsid w:val="002F2585"/>
    <w:rsid w:val="002F40A7"/>
    <w:rsid w:val="002F4438"/>
    <w:rsid w:val="002F44EF"/>
    <w:rsid w:val="002F6239"/>
    <w:rsid w:val="00300E16"/>
    <w:rsid w:val="0030508F"/>
    <w:rsid w:val="0030663C"/>
    <w:rsid w:val="00310587"/>
    <w:rsid w:val="003168C7"/>
    <w:rsid w:val="00325A14"/>
    <w:rsid w:val="0033218E"/>
    <w:rsid w:val="00351D1D"/>
    <w:rsid w:val="00356FF3"/>
    <w:rsid w:val="0036171D"/>
    <w:rsid w:val="00363CD0"/>
    <w:rsid w:val="00366B81"/>
    <w:rsid w:val="003676AB"/>
    <w:rsid w:val="003813E5"/>
    <w:rsid w:val="00383A21"/>
    <w:rsid w:val="00386DF4"/>
    <w:rsid w:val="00387B65"/>
    <w:rsid w:val="00393D9C"/>
    <w:rsid w:val="003A2C1B"/>
    <w:rsid w:val="003A39AE"/>
    <w:rsid w:val="003B1928"/>
    <w:rsid w:val="003B2BFF"/>
    <w:rsid w:val="003B2C64"/>
    <w:rsid w:val="003B46EC"/>
    <w:rsid w:val="003C15F9"/>
    <w:rsid w:val="003C40AC"/>
    <w:rsid w:val="003C6A2A"/>
    <w:rsid w:val="003D04FF"/>
    <w:rsid w:val="003D1CCF"/>
    <w:rsid w:val="003D3250"/>
    <w:rsid w:val="003D7DDE"/>
    <w:rsid w:val="003E23C3"/>
    <w:rsid w:val="003E2F2D"/>
    <w:rsid w:val="003F3C93"/>
    <w:rsid w:val="004021D1"/>
    <w:rsid w:val="0040614C"/>
    <w:rsid w:val="00406D22"/>
    <w:rsid w:val="00406F86"/>
    <w:rsid w:val="00412E23"/>
    <w:rsid w:val="004137CD"/>
    <w:rsid w:val="0042293C"/>
    <w:rsid w:val="004249FC"/>
    <w:rsid w:val="00424BF4"/>
    <w:rsid w:val="004267D5"/>
    <w:rsid w:val="00435458"/>
    <w:rsid w:val="004418D4"/>
    <w:rsid w:val="00441E1D"/>
    <w:rsid w:val="0045285B"/>
    <w:rsid w:val="00452AC3"/>
    <w:rsid w:val="00457292"/>
    <w:rsid w:val="0045780A"/>
    <w:rsid w:val="00457ACF"/>
    <w:rsid w:val="00457F45"/>
    <w:rsid w:val="0046573E"/>
    <w:rsid w:val="00465F0C"/>
    <w:rsid w:val="00472F60"/>
    <w:rsid w:val="00474FCF"/>
    <w:rsid w:val="00481350"/>
    <w:rsid w:val="00485404"/>
    <w:rsid w:val="0049313B"/>
    <w:rsid w:val="004A139B"/>
    <w:rsid w:val="004A1D6C"/>
    <w:rsid w:val="004A3216"/>
    <w:rsid w:val="004B0981"/>
    <w:rsid w:val="004B2C6F"/>
    <w:rsid w:val="004B54EE"/>
    <w:rsid w:val="004C0D31"/>
    <w:rsid w:val="004D705B"/>
    <w:rsid w:val="004E67B5"/>
    <w:rsid w:val="004F4EE5"/>
    <w:rsid w:val="004F6D35"/>
    <w:rsid w:val="00503A7B"/>
    <w:rsid w:val="00504FEF"/>
    <w:rsid w:val="005060A4"/>
    <w:rsid w:val="0050758F"/>
    <w:rsid w:val="00515955"/>
    <w:rsid w:val="005177B6"/>
    <w:rsid w:val="00517AC1"/>
    <w:rsid w:val="00522BA0"/>
    <w:rsid w:val="00534556"/>
    <w:rsid w:val="00536915"/>
    <w:rsid w:val="00537B87"/>
    <w:rsid w:val="005456F0"/>
    <w:rsid w:val="00547CAD"/>
    <w:rsid w:val="00556B7A"/>
    <w:rsid w:val="00561FF8"/>
    <w:rsid w:val="00563856"/>
    <w:rsid w:val="005670F7"/>
    <w:rsid w:val="005706F0"/>
    <w:rsid w:val="00574BDC"/>
    <w:rsid w:val="00597358"/>
    <w:rsid w:val="005A1996"/>
    <w:rsid w:val="005A52C3"/>
    <w:rsid w:val="005A6BE9"/>
    <w:rsid w:val="005B3563"/>
    <w:rsid w:val="005C135C"/>
    <w:rsid w:val="005C3D4B"/>
    <w:rsid w:val="005C4278"/>
    <w:rsid w:val="005D339F"/>
    <w:rsid w:val="005D6F82"/>
    <w:rsid w:val="005E1D56"/>
    <w:rsid w:val="005E40C3"/>
    <w:rsid w:val="005E5669"/>
    <w:rsid w:val="005F0936"/>
    <w:rsid w:val="005F1C1F"/>
    <w:rsid w:val="005F1C54"/>
    <w:rsid w:val="005F1DCE"/>
    <w:rsid w:val="005F4EB2"/>
    <w:rsid w:val="005F57BB"/>
    <w:rsid w:val="005F621C"/>
    <w:rsid w:val="006039E6"/>
    <w:rsid w:val="00603A38"/>
    <w:rsid w:val="00606B70"/>
    <w:rsid w:val="006101D5"/>
    <w:rsid w:val="00614CE1"/>
    <w:rsid w:val="00615191"/>
    <w:rsid w:val="006165E1"/>
    <w:rsid w:val="00616EB0"/>
    <w:rsid w:val="0062060A"/>
    <w:rsid w:val="00622675"/>
    <w:rsid w:val="00622CF2"/>
    <w:rsid w:val="006308E1"/>
    <w:rsid w:val="00640A4A"/>
    <w:rsid w:val="006412B1"/>
    <w:rsid w:val="00641CA5"/>
    <w:rsid w:val="006427A8"/>
    <w:rsid w:val="0064471C"/>
    <w:rsid w:val="006540F2"/>
    <w:rsid w:val="0065420E"/>
    <w:rsid w:val="00654AA3"/>
    <w:rsid w:val="006553F2"/>
    <w:rsid w:val="00665DEF"/>
    <w:rsid w:val="00673034"/>
    <w:rsid w:val="0068031F"/>
    <w:rsid w:val="00680406"/>
    <w:rsid w:val="006924D0"/>
    <w:rsid w:val="00692565"/>
    <w:rsid w:val="00697B4B"/>
    <w:rsid w:val="006A42EE"/>
    <w:rsid w:val="006A5323"/>
    <w:rsid w:val="006A6BBE"/>
    <w:rsid w:val="006B26E6"/>
    <w:rsid w:val="006C0AE1"/>
    <w:rsid w:val="006C178C"/>
    <w:rsid w:val="006C74F2"/>
    <w:rsid w:val="006D53CD"/>
    <w:rsid w:val="006D77DC"/>
    <w:rsid w:val="006E7BB8"/>
    <w:rsid w:val="006F722C"/>
    <w:rsid w:val="007123A0"/>
    <w:rsid w:val="00714520"/>
    <w:rsid w:val="0071744B"/>
    <w:rsid w:val="00717CA0"/>
    <w:rsid w:val="00724458"/>
    <w:rsid w:val="00724C05"/>
    <w:rsid w:val="00727A35"/>
    <w:rsid w:val="00727BFD"/>
    <w:rsid w:val="007305D9"/>
    <w:rsid w:val="00731E20"/>
    <w:rsid w:val="0073665F"/>
    <w:rsid w:val="00744516"/>
    <w:rsid w:val="00756C80"/>
    <w:rsid w:val="0076153D"/>
    <w:rsid w:val="0076472B"/>
    <w:rsid w:val="00766576"/>
    <w:rsid w:val="007712B3"/>
    <w:rsid w:val="00774444"/>
    <w:rsid w:val="00774626"/>
    <w:rsid w:val="00777EEF"/>
    <w:rsid w:val="00784193"/>
    <w:rsid w:val="00784B39"/>
    <w:rsid w:val="00790A07"/>
    <w:rsid w:val="0079615B"/>
    <w:rsid w:val="007A2D2A"/>
    <w:rsid w:val="007A77B2"/>
    <w:rsid w:val="007D009A"/>
    <w:rsid w:val="007E0CCC"/>
    <w:rsid w:val="007E44A9"/>
    <w:rsid w:val="007E6DCB"/>
    <w:rsid w:val="007F18B3"/>
    <w:rsid w:val="007F578D"/>
    <w:rsid w:val="007F5DD2"/>
    <w:rsid w:val="007F6063"/>
    <w:rsid w:val="00806893"/>
    <w:rsid w:val="00815763"/>
    <w:rsid w:val="00815DE1"/>
    <w:rsid w:val="0081697C"/>
    <w:rsid w:val="00824EE6"/>
    <w:rsid w:val="00824F31"/>
    <w:rsid w:val="0083551C"/>
    <w:rsid w:val="00835B1C"/>
    <w:rsid w:val="00850E13"/>
    <w:rsid w:val="00852FE5"/>
    <w:rsid w:val="00853C49"/>
    <w:rsid w:val="00857825"/>
    <w:rsid w:val="008726C7"/>
    <w:rsid w:val="00881CCD"/>
    <w:rsid w:val="00887BD8"/>
    <w:rsid w:val="00890CDE"/>
    <w:rsid w:val="00891C63"/>
    <w:rsid w:val="00892DC6"/>
    <w:rsid w:val="008A7BA9"/>
    <w:rsid w:val="008B2E9F"/>
    <w:rsid w:val="008B3B78"/>
    <w:rsid w:val="008B3E51"/>
    <w:rsid w:val="008C6750"/>
    <w:rsid w:val="008D0588"/>
    <w:rsid w:val="008D2DC6"/>
    <w:rsid w:val="008D58B4"/>
    <w:rsid w:val="008E0905"/>
    <w:rsid w:val="008E1CED"/>
    <w:rsid w:val="008E343E"/>
    <w:rsid w:val="008F08D0"/>
    <w:rsid w:val="008F2706"/>
    <w:rsid w:val="00901346"/>
    <w:rsid w:val="0090321C"/>
    <w:rsid w:val="0090470B"/>
    <w:rsid w:val="009112D7"/>
    <w:rsid w:val="00914ABF"/>
    <w:rsid w:val="009238B9"/>
    <w:rsid w:val="00926389"/>
    <w:rsid w:val="009354CE"/>
    <w:rsid w:val="00935E78"/>
    <w:rsid w:val="0093677B"/>
    <w:rsid w:val="00940222"/>
    <w:rsid w:val="009458C1"/>
    <w:rsid w:val="009538CC"/>
    <w:rsid w:val="00953A50"/>
    <w:rsid w:val="00961595"/>
    <w:rsid w:val="009666B3"/>
    <w:rsid w:val="0096690A"/>
    <w:rsid w:val="00967B9B"/>
    <w:rsid w:val="00970B70"/>
    <w:rsid w:val="009748BF"/>
    <w:rsid w:val="009A62C0"/>
    <w:rsid w:val="009A7CA7"/>
    <w:rsid w:val="009B1101"/>
    <w:rsid w:val="009B12AF"/>
    <w:rsid w:val="009B5839"/>
    <w:rsid w:val="009C6211"/>
    <w:rsid w:val="009D3239"/>
    <w:rsid w:val="009E4EB9"/>
    <w:rsid w:val="009E7B7F"/>
    <w:rsid w:val="009F1422"/>
    <w:rsid w:val="009F473E"/>
    <w:rsid w:val="00A01ADF"/>
    <w:rsid w:val="00A03687"/>
    <w:rsid w:val="00A047C0"/>
    <w:rsid w:val="00A22A01"/>
    <w:rsid w:val="00A3370F"/>
    <w:rsid w:val="00A3704C"/>
    <w:rsid w:val="00A37739"/>
    <w:rsid w:val="00A4082E"/>
    <w:rsid w:val="00A46DB4"/>
    <w:rsid w:val="00A50FCE"/>
    <w:rsid w:val="00A538F5"/>
    <w:rsid w:val="00A541DB"/>
    <w:rsid w:val="00A57AC6"/>
    <w:rsid w:val="00A71C58"/>
    <w:rsid w:val="00A75DD2"/>
    <w:rsid w:val="00A83FF5"/>
    <w:rsid w:val="00A84450"/>
    <w:rsid w:val="00A85911"/>
    <w:rsid w:val="00AA0044"/>
    <w:rsid w:val="00AA2538"/>
    <w:rsid w:val="00AA391F"/>
    <w:rsid w:val="00AA45FC"/>
    <w:rsid w:val="00AB5D8F"/>
    <w:rsid w:val="00AB7619"/>
    <w:rsid w:val="00AC49ED"/>
    <w:rsid w:val="00AD5F6F"/>
    <w:rsid w:val="00AE09D1"/>
    <w:rsid w:val="00AF0516"/>
    <w:rsid w:val="00AF6549"/>
    <w:rsid w:val="00B01D7A"/>
    <w:rsid w:val="00B04C4C"/>
    <w:rsid w:val="00B1135A"/>
    <w:rsid w:val="00B15694"/>
    <w:rsid w:val="00B27161"/>
    <w:rsid w:val="00B303FA"/>
    <w:rsid w:val="00B37695"/>
    <w:rsid w:val="00B42D8C"/>
    <w:rsid w:val="00B45152"/>
    <w:rsid w:val="00B46BCB"/>
    <w:rsid w:val="00B57140"/>
    <w:rsid w:val="00B738EA"/>
    <w:rsid w:val="00B77E7F"/>
    <w:rsid w:val="00B80475"/>
    <w:rsid w:val="00B807E1"/>
    <w:rsid w:val="00B863AD"/>
    <w:rsid w:val="00B86480"/>
    <w:rsid w:val="00B868AF"/>
    <w:rsid w:val="00BA50C6"/>
    <w:rsid w:val="00BA5849"/>
    <w:rsid w:val="00BC250E"/>
    <w:rsid w:val="00BC386A"/>
    <w:rsid w:val="00BC3E9D"/>
    <w:rsid w:val="00BC4F68"/>
    <w:rsid w:val="00BC50A1"/>
    <w:rsid w:val="00BC78F8"/>
    <w:rsid w:val="00BD3324"/>
    <w:rsid w:val="00BD5B4F"/>
    <w:rsid w:val="00BE1534"/>
    <w:rsid w:val="00BE1AA2"/>
    <w:rsid w:val="00BE68A6"/>
    <w:rsid w:val="00BF25C3"/>
    <w:rsid w:val="00BF48B2"/>
    <w:rsid w:val="00BF60BE"/>
    <w:rsid w:val="00BF775E"/>
    <w:rsid w:val="00C00D17"/>
    <w:rsid w:val="00C039B1"/>
    <w:rsid w:val="00C05B36"/>
    <w:rsid w:val="00C11F21"/>
    <w:rsid w:val="00C136AF"/>
    <w:rsid w:val="00C166B8"/>
    <w:rsid w:val="00C21FFA"/>
    <w:rsid w:val="00C26C33"/>
    <w:rsid w:val="00C32D18"/>
    <w:rsid w:val="00C33152"/>
    <w:rsid w:val="00C33382"/>
    <w:rsid w:val="00C407D0"/>
    <w:rsid w:val="00C50838"/>
    <w:rsid w:val="00C5394A"/>
    <w:rsid w:val="00C726FA"/>
    <w:rsid w:val="00C73DD3"/>
    <w:rsid w:val="00C827A0"/>
    <w:rsid w:val="00C82A65"/>
    <w:rsid w:val="00C9207C"/>
    <w:rsid w:val="00C95266"/>
    <w:rsid w:val="00CA0DA8"/>
    <w:rsid w:val="00CA25E9"/>
    <w:rsid w:val="00CA3F1D"/>
    <w:rsid w:val="00CA7FAB"/>
    <w:rsid w:val="00CB0242"/>
    <w:rsid w:val="00CB14A2"/>
    <w:rsid w:val="00CC1F12"/>
    <w:rsid w:val="00CC3D43"/>
    <w:rsid w:val="00CC59B0"/>
    <w:rsid w:val="00CD3B34"/>
    <w:rsid w:val="00CD6A92"/>
    <w:rsid w:val="00CE1408"/>
    <w:rsid w:val="00CE66F3"/>
    <w:rsid w:val="00CF2A2A"/>
    <w:rsid w:val="00CF4E9A"/>
    <w:rsid w:val="00D00A33"/>
    <w:rsid w:val="00D03C25"/>
    <w:rsid w:val="00D04E40"/>
    <w:rsid w:val="00D32ECF"/>
    <w:rsid w:val="00D370F0"/>
    <w:rsid w:val="00D45A56"/>
    <w:rsid w:val="00D45E13"/>
    <w:rsid w:val="00D55ACC"/>
    <w:rsid w:val="00D6047E"/>
    <w:rsid w:val="00D61516"/>
    <w:rsid w:val="00D648AF"/>
    <w:rsid w:val="00D65576"/>
    <w:rsid w:val="00D73218"/>
    <w:rsid w:val="00D77500"/>
    <w:rsid w:val="00D81E6B"/>
    <w:rsid w:val="00D8377C"/>
    <w:rsid w:val="00D84F45"/>
    <w:rsid w:val="00D92A99"/>
    <w:rsid w:val="00D92D67"/>
    <w:rsid w:val="00DA169E"/>
    <w:rsid w:val="00DA3A4A"/>
    <w:rsid w:val="00DA49B8"/>
    <w:rsid w:val="00DB3232"/>
    <w:rsid w:val="00DC404D"/>
    <w:rsid w:val="00DC46CE"/>
    <w:rsid w:val="00DC5AFF"/>
    <w:rsid w:val="00DD075F"/>
    <w:rsid w:val="00DD1856"/>
    <w:rsid w:val="00DD1B0E"/>
    <w:rsid w:val="00DD3C34"/>
    <w:rsid w:val="00DD448B"/>
    <w:rsid w:val="00DE1F84"/>
    <w:rsid w:val="00DE473D"/>
    <w:rsid w:val="00E01829"/>
    <w:rsid w:val="00E036D1"/>
    <w:rsid w:val="00E14BBF"/>
    <w:rsid w:val="00E33CA3"/>
    <w:rsid w:val="00E41394"/>
    <w:rsid w:val="00E46454"/>
    <w:rsid w:val="00E50682"/>
    <w:rsid w:val="00E575FD"/>
    <w:rsid w:val="00E61115"/>
    <w:rsid w:val="00E63CEC"/>
    <w:rsid w:val="00E66A08"/>
    <w:rsid w:val="00E67235"/>
    <w:rsid w:val="00E716AA"/>
    <w:rsid w:val="00E76CC5"/>
    <w:rsid w:val="00E86048"/>
    <w:rsid w:val="00E92481"/>
    <w:rsid w:val="00E95EAD"/>
    <w:rsid w:val="00E96736"/>
    <w:rsid w:val="00EB23AB"/>
    <w:rsid w:val="00EB640B"/>
    <w:rsid w:val="00EB76C3"/>
    <w:rsid w:val="00EC3848"/>
    <w:rsid w:val="00ED023E"/>
    <w:rsid w:val="00ED266F"/>
    <w:rsid w:val="00ED3D52"/>
    <w:rsid w:val="00ED4EA2"/>
    <w:rsid w:val="00ED7043"/>
    <w:rsid w:val="00EE3963"/>
    <w:rsid w:val="00EE4986"/>
    <w:rsid w:val="00EE6E11"/>
    <w:rsid w:val="00EF015D"/>
    <w:rsid w:val="00EF101B"/>
    <w:rsid w:val="00EF2FD4"/>
    <w:rsid w:val="00EF3EFD"/>
    <w:rsid w:val="00EF5AFA"/>
    <w:rsid w:val="00EF66CF"/>
    <w:rsid w:val="00F0664E"/>
    <w:rsid w:val="00F07D16"/>
    <w:rsid w:val="00F24CA1"/>
    <w:rsid w:val="00F345F3"/>
    <w:rsid w:val="00F36CEC"/>
    <w:rsid w:val="00F54580"/>
    <w:rsid w:val="00F56038"/>
    <w:rsid w:val="00F5659D"/>
    <w:rsid w:val="00F645ED"/>
    <w:rsid w:val="00F7357C"/>
    <w:rsid w:val="00F73A2F"/>
    <w:rsid w:val="00F74B18"/>
    <w:rsid w:val="00F77D02"/>
    <w:rsid w:val="00F80834"/>
    <w:rsid w:val="00F87CCC"/>
    <w:rsid w:val="00F93D7D"/>
    <w:rsid w:val="00FA081E"/>
    <w:rsid w:val="00FA2AB4"/>
    <w:rsid w:val="00FA30F9"/>
    <w:rsid w:val="00FA5E83"/>
    <w:rsid w:val="00FB3666"/>
    <w:rsid w:val="00FB4EC2"/>
    <w:rsid w:val="00FB61E5"/>
    <w:rsid w:val="00FD3FF1"/>
    <w:rsid w:val="00FE1D56"/>
    <w:rsid w:val="00FE221B"/>
    <w:rsid w:val="00FE4806"/>
    <w:rsid w:val="00FE4EE1"/>
    <w:rsid w:val="00FE72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DB84EB"/>
  <w15:docId w15:val="{ED7EDF41-979C-41FA-BD05-733E2149D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4EC2"/>
    <w:pPr>
      <w:spacing w:after="180"/>
    </w:pPr>
    <w:rPr>
      <w:rFonts w:eastAsia="宋体"/>
      <w:lang w:val="en-GB"/>
    </w:rPr>
  </w:style>
  <w:style w:type="paragraph" w:styleId="1">
    <w:name w:val="heading 1"/>
    <w:next w:val="a"/>
    <w:link w:val="10"/>
    <w:qFormat/>
    <w:rsid w:val="00A01ADF"/>
    <w:pPr>
      <w:keepNext/>
      <w:keepLines/>
      <w:pBdr>
        <w:top w:val="single" w:sz="12" w:space="3" w:color="auto"/>
      </w:pBdr>
      <w:spacing w:before="240" w:after="180"/>
      <w:outlineLvl w:val="0"/>
    </w:pPr>
    <w:rPr>
      <w:rFonts w:ascii="Arial" w:eastAsia="宋体" w:hAnsi="Arial"/>
      <w:sz w:val="36"/>
      <w:lang w:val="sv-SE"/>
    </w:rPr>
  </w:style>
  <w:style w:type="paragraph" w:styleId="2">
    <w:name w:val="heading 2"/>
    <w:basedOn w:val="a"/>
    <w:next w:val="a"/>
    <w:link w:val="20"/>
    <w:unhideWhenUsed/>
    <w:qFormat/>
    <w:rsid w:val="0012550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125501"/>
    <w:pPr>
      <w:keepNext/>
      <w:keepLines/>
      <w:spacing w:before="260" w:after="260" w:line="416" w:lineRule="auto"/>
      <w:outlineLvl w:val="2"/>
    </w:pPr>
    <w:rPr>
      <w:b/>
      <w:bCs/>
      <w:sz w:val="32"/>
      <w:szCs w:val="32"/>
    </w:rPr>
  </w:style>
  <w:style w:type="paragraph" w:styleId="4">
    <w:name w:val="heading 4"/>
    <w:basedOn w:val="a"/>
    <w:next w:val="a"/>
    <w:link w:val="40"/>
    <w:semiHidden/>
    <w:unhideWhenUsed/>
    <w:qFormat/>
    <w:rsid w:val="00125501"/>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A01ADF"/>
    <w:rPr>
      <w:rFonts w:ascii="Arial" w:eastAsia="宋体" w:hAnsi="Arial"/>
      <w:sz w:val="36"/>
      <w:lang w:val="sv-SE"/>
    </w:rPr>
  </w:style>
  <w:style w:type="paragraph" w:styleId="a3">
    <w:name w:val="header"/>
    <w:link w:val="a4"/>
    <w:qFormat/>
    <w:rsid w:val="00A01ADF"/>
    <w:pPr>
      <w:widowControl w:val="0"/>
    </w:pPr>
    <w:rPr>
      <w:rFonts w:ascii="Arial" w:eastAsia="宋体" w:hAnsi="Arial"/>
      <w:b/>
      <w:sz w:val="18"/>
      <w:lang w:val="en-GB" w:eastAsia="sv-SE"/>
    </w:rPr>
  </w:style>
  <w:style w:type="character" w:customStyle="1" w:styleId="a4">
    <w:name w:val="页眉 字符"/>
    <w:basedOn w:val="a0"/>
    <w:link w:val="a3"/>
    <w:qFormat/>
    <w:rsid w:val="00A01ADF"/>
    <w:rPr>
      <w:rFonts w:ascii="Arial" w:eastAsia="宋体" w:hAnsi="Arial"/>
      <w:b/>
      <w:sz w:val="18"/>
      <w:lang w:val="en-GB" w:eastAsia="sv-SE"/>
    </w:rPr>
  </w:style>
  <w:style w:type="paragraph" w:customStyle="1" w:styleId="CRCoverPage">
    <w:name w:val="CR Cover Page"/>
    <w:rsid w:val="00A01ADF"/>
    <w:pPr>
      <w:spacing w:after="120"/>
    </w:pPr>
    <w:rPr>
      <w:rFonts w:ascii="Arial" w:eastAsiaTheme="minorEastAsia" w:hAnsi="Arial"/>
      <w:lang w:val="en-GB"/>
    </w:rPr>
  </w:style>
  <w:style w:type="table" w:styleId="a5">
    <w:name w:val="Table Grid"/>
    <w:basedOn w:val="a1"/>
    <w:uiPriority w:val="59"/>
    <w:qFormat/>
    <w:rsid w:val="001D1C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
    <w:basedOn w:val="a"/>
    <w:link w:val="a7"/>
    <w:uiPriority w:val="34"/>
    <w:qFormat/>
    <w:rsid w:val="001D1C53"/>
    <w:pPr>
      <w:widowControl w:val="0"/>
      <w:spacing w:before="80" w:after="0" w:line="360" w:lineRule="auto"/>
      <w:ind w:firstLineChars="200" w:firstLine="420"/>
      <w:jc w:val="both"/>
    </w:pPr>
    <w:rPr>
      <w:kern w:val="2"/>
      <w:sz w:val="21"/>
      <w:szCs w:val="24"/>
      <w:lang w:val="en-US" w:eastAsia="zh-CN"/>
    </w:rPr>
  </w:style>
  <w:style w:type="character" w:customStyle="1" w:styleId="a7">
    <w:name w:val="列出段落 字符"/>
    <w:aliases w:val="R4_bullets 字符,- Bullets 字符1,?? ?? 字符1,????? 字符1,???? 字符1,Lista1 字符1,列出段落1 字符1,中等深浅网格 1 - 着色 21 字符1,列表段落1 字符1,—ño’i—Ž 字符1,¥¡¡¡¡ì¬º¥¹¥È¶ÎÂä 字符1,ÁÐ³ö¶ÎÂä 字符1,¥ê¥¹¥È¶ÎÂä 字符1,1st level - Bullet List Paragraph 字符1,Lettre d'introduction 字符1,목록 단락 字符1"/>
    <w:link w:val="a6"/>
    <w:uiPriority w:val="34"/>
    <w:qFormat/>
    <w:locked/>
    <w:rsid w:val="001D1C53"/>
    <w:rPr>
      <w:rFonts w:eastAsia="宋体"/>
      <w:kern w:val="2"/>
      <w:sz w:val="21"/>
      <w:szCs w:val="24"/>
      <w:lang w:eastAsia="zh-CN"/>
    </w:rPr>
  </w:style>
  <w:style w:type="character" w:customStyle="1" w:styleId="TALCar">
    <w:name w:val="TAL Car"/>
    <w:basedOn w:val="a0"/>
    <w:link w:val="TAL"/>
    <w:qFormat/>
    <w:locked/>
    <w:rsid w:val="006B26E6"/>
    <w:rPr>
      <w:rFonts w:ascii="Arial" w:hAnsi="Arial" w:cs="Arial"/>
      <w:lang w:eastAsia="ja-JP"/>
    </w:rPr>
  </w:style>
  <w:style w:type="paragraph" w:customStyle="1" w:styleId="TAL">
    <w:name w:val="TAL"/>
    <w:basedOn w:val="a"/>
    <w:link w:val="TALCar"/>
    <w:qFormat/>
    <w:rsid w:val="006B26E6"/>
    <w:pPr>
      <w:keepNext/>
      <w:overflowPunct w:val="0"/>
      <w:autoSpaceDE w:val="0"/>
      <w:autoSpaceDN w:val="0"/>
      <w:spacing w:after="0"/>
    </w:pPr>
    <w:rPr>
      <w:rFonts w:ascii="Arial" w:eastAsia="Batang" w:hAnsi="Arial" w:cs="Arial"/>
      <w:lang w:val="en-US" w:eastAsia="ja-JP"/>
    </w:rPr>
  </w:style>
  <w:style w:type="paragraph" w:customStyle="1" w:styleId="maintext">
    <w:name w:val="main text"/>
    <w:basedOn w:val="a"/>
    <w:link w:val="maintextChar"/>
    <w:qFormat/>
    <w:rsid w:val="006B26E6"/>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6B26E6"/>
    <w:rPr>
      <w:rFonts w:eastAsia="Malgun Gothic" w:cs="Batang"/>
      <w:lang w:val="en-GB" w:eastAsia="ko-KR"/>
    </w:rPr>
  </w:style>
  <w:style w:type="paragraph" w:customStyle="1" w:styleId="TAH">
    <w:name w:val="TAH"/>
    <w:basedOn w:val="TAC"/>
    <w:link w:val="TAHCar"/>
    <w:qFormat/>
    <w:rsid w:val="00C33152"/>
    <w:rPr>
      <w:b/>
    </w:rPr>
  </w:style>
  <w:style w:type="paragraph" w:customStyle="1" w:styleId="TAC">
    <w:name w:val="TAC"/>
    <w:basedOn w:val="TAL"/>
    <w:link w:val="TACChar"/>
    <w:qFormat/>
    <w:rsid w:val="00C33152"/>
    <w:pPr>
      <w:keepLines/>
      <w:overflowPunct/>
      <w:autoSpaceDE/>
      <w:autoSpaceDN/>
      <w:jc w:val="center"/>
    </w:pPr>
    <w:rPr>
      <w:rFonts w:eastAsiaTheme="minorEastAsia" w:cs="Times New Roman"/>
      <w:sz w:val="18"/>
      <w:lang w:val="en-GB" w:eastAsia="en-US"/>
    </w:rPr>
  </w:style>
  <w:style w:type="paragraph" w:customStyle="1" w:styleId="NO">
    <w:name w:val="NO"/>
    <w:basedOn w:val="a"/>
    <w:link w:val="NOChar"/>
    <w:qFormat/>
    <w:rsid w:val="00C33152"/>
    <w:pPr>
      <w:keepLines/>
      <w:ind w:left="1135" w:hanging="851"/>
    </w:pPr>
    <w:rPr>
      <w:rFonts w:eastAsiaTheme="minorEastAsia"/>
    </w:rPr>
  </w:style>
  <w:style w:type="character" w:styleId="a8">
    <w:name w:val="annotation reference"/>
    <w:uiPriority w:val="99"/>
    <w:qFormat/>
    <w:rsid w:val="00C33152"/>
    <w:rPr>
      <w:sz w:val="16"/>
    </w:rPr>
  </w:style>
  <w:style w:type="paragraph" w:styleId="a9">
    <w:name w:val="annotation text"/>
    <w:basedOn w:val="a"/>
    <w:link w:val="aa"/>
    <w:qFormat/>
    <w:rsid w:val="00C33152"/>
    <w:rPr>
      <w:rFonts w:eastAsiaTheme="minorEastAsia"/>
    </w:rPr>
  </w:style>
  <w:style w:type="character" w:customStyle="1" w:styleId="aa">
    <w:name w:val="批注文字 字符"/>
    <w:basedOn w:val="a0"/>
    <w:link w:val="a9"/>
    <w:qFormat/>
    <w:rsid w:val="00C33152"/>
    <w:rPr>
      <w:rFonts w:eastAsiaTheme="minorEastAsia"/>
      <w:lang w:val="en-GB"/>
    </w:rPr>
  </w:style>
  <w:style w:type="character" w:customStyle="1" w:styleId="TACChar">
    <w:name w:val="TAC Char"/>
    <w:link w:val="TAC"/>
    <w:qFormat/>
    <w:rsid w:val="00C33152"/>
    <w:rPr>
      <w:rFonts w:ascii="Arial" w:eastAsiaTheme="minorEastAsia" w:hAnsi="Arial"/>
      <w:sz w:val="18"/>
      <w:lang w:val="en-GB"/>
    </w:rPr>
  </w:style>
  <w:style w:type="character" w:customStyle="1" w:styleId="TAHCar">
    <w:name w:val="TAH Car"/>
    <w:link w:val="TAH"/>
    <w:qFormat/>
    <w:rsid w:val="00C33152"/>
    <w:rPr>
      <w:rFonts w:ascii="Arial" w:eastAsiaTheme="minorEastAsia" w:hAnsi="Arial"/>
      <w:b/>
      <w:sz w:val="18"/>
      <w:lang w:val="en-GB"/>
    </w:rPr>
  </w:style>
  <w:style w:type="character" w:customStyle="1" w:styleId="NOChar">
    <w:name w:val="NO Char"/>
    <w:link w:val="NO"/>
    <w:qFormat/>
    <w:rsid w:val="00C33152"/>
    <w:rPr>
      <w:rFonts w:eastAsiaTheme="minorEastAsia"/>
      <w:lang w:val="en-GB"/>
    </w:rPr>
  </w:style>
  <w:style w:type="paragraph" w:styleId="ab">
    <w:name w:val="Balloon Text"/>
    <w:basedOn w:val="a"/>
    <w:link w:val="ac"/>
    <w:semiHidden/>
    <w:unhideWhenUsed/>
    <w:rsid w:val="00C33152"/>
    <w:pPr>
      <w:spacing w:after="0"/>
    </w:pPr>
    <w:rPr>
      <w:sz w:val="18"/>
      <w:szCs w:val="18"/>
    </w:rPr>
  </w:style>
  <w:style w:type="character" w:customStyle="1" w:styleId="ac">
    <w:name w:val="批注框文本 字符"/>
    <w:basedOn w:val="a0"/>
    <w:link w:val="ab"/>
    <w:semiHidden/>
    <w:rsid w:val="00C33152"/>
    <w:rPr>
      <w:rFonts w:eastAsia="宋体"/>
      <w:sz w:val="18"/>
      <w:szCs w:val="18"/>
      <w:lang w:val="en-GB"/>
    </w:rPr>
  </w:style>
  <w:style w:type="character" w:customStyle="1" w:styleId="20">
    <w:name w:val="标题 2 字符"/>
    <w:basedOn w:val="a0"/>
    <w:link w:val="2"/>
    <w:rsid w:val="00125501"/>
    <w:rPr>
      <w:rFonts w:asciiTheme="majorHAnsi" w:eastAsiaTheme="majorEastAsia" w:hAnsiTheme="majorHAnsi" w:cstheme="majorBidi"/>
      <w:b/>
      <w:bCs/>
      <w:sz w:val="32"/>
      <w:szCs w:val="32"/>
      <w:lang w:val="en-GB"/>
    </w:rPr>
  </w:style>
  <w:style w:type="character" w:customStyle="1" w:styleId="30">
    <w:name w:val="标题 3 字符"/>
    <w:basedOn w:val="a0"/>
    <w:link w:val="3"/>
    <w:rsid w:val="00125501"/>
    <w:rPr>
      <w:rFonts w:eastAsia="宋体"/>
      <w:b/>
      <w:bCs/>
      <w:sz w:val="32"/>
      <w:szCs w:val="32"/>
      <w:lang w:val="en-GB"/>
    </w:rPr>
  </w:style>
  <w:style w:type="character" w:customStyle="1" w:styleId="40">
    <w:name w:val="标题 4 字符"/>
    <w:basedOn w:val="a0"/>
    <w:link w:val="4"/>
    <w:semiHidden/>
    <w:rsid w:val="00125501"/>
    <w:rPr>
      <w:rFonts w:asciiTheme="majorHAnsi" w:eastAsiaTheme="majorEastAsia" w:hAnsiTheme="majorHAnsi" w:cstheme="majorBidi"/>
      <w:b/>
      <w:bCs/>
      <w:sz w:val="28"/>
      <w:szCs w:val="28"/>
      <w:lang w:val="en-GB"/>
    </w:rPr>
  </w:style>
  <w:style w:type="paragraph" w:customStyle="1" w:styleId="TH">
    <w:name w:val="TH"/>
    <w:basedOn w:val="a"/>
    <w:link w:val="THChar"/>
    <w:qFormat/>
    <w:rsid w:val="00125501"/>
    <w:pPr>
      <w:keepNext/>
      <w:keepLines/>
      <w:spacing w:before="60"/>
      <w:jc w:val="center"/>
    </w:pPr>
    <w:rPr>
      <w:rFonts w:ascii="Arial" w:eastAsiaTheme="minorEastAsia" w:hAnsi="Arial"/>
      <w:b/>
    </w:rPr>
  </w:style>
  <w:style w:type="paragraph" w:customStyle="1" w:styleId="TAN">
    <w:name w:val="TAN"/>
    <w:basedOn w:val="TAL"/>
    <w:link w:val="TANChar"/>
    <w:qFormat/>
    <w:rsid w:val="00125501"/>
    <w:pPr>
      <w:keepLines/>
      <w:overflowPunct/>
      <w:autoSpaceDE/>
      <w:autoSpaceDN/>
      <w:ind w:left="851" w:hanging="851"/>
    </w:pPr>
    <w:rPr>
      <w:rFonts w:eastAsiaTheme="minorEastAsia" w:cs="Times New Roman"/>
      <w:sz w:val="18"/>
      <w:lang w:val="en-GB" w:eastAsia="en-US"/>
    </w:rPr>
  </w:style>
  <w:style w:type="character" w:customStyle="1" w:styleId="THChar">
    <w:name w:val="TH Char"/>
    <w:link w:val="TH"/>
    <w:qFormat/>
    <w:rsid w:val="00125501"/>
    <w:rPr>
      <w:rFonts w:ascii="Arial" w:eastAsiaTheme="minorEastAsia" w:hAnsi="Arial"/>
      <w:b/>
      <w:lang w:val="en-GB"/>
    </w:rPr>
  </w:style>
  <w:style w:type="character" w:customStyle="1" w:styleId="TANChar">
    <w:name w:val="TAN Char"/>
    <w:link w:val="TAN"/>
    <w:qFormat/>
    <w:rsid w:val="00125501"/>
    <w:rPr>
      <w:rFonts w:ascii="Arial" w:eastAsiaTheme="minorEastAsia" w:hAnsi="Arial"/>
      <w:sz w:val="18"/>
      <w:lang w:val="en-GB"/>
    </w:rPr>
  </w:style>
  <w:style w:type="character" w:customStyle="1" w:styleId="msoins0">
    <w:name w:val="msoins0"/>
    <w:qFormat/>
    <w:rsid w:val="00125501"/>
  </w:style>
  <w:style w:type="character" w:customStyle="1" w:styleId="ad">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basedOn w:val="a0"/>
    <w:uiPriority w:val="34"/>
    <w:locked/>
    <w:rsid w:val="00C26C33"/>
    <w:rPr>
      <w:rFonts w:ascii="Calibri" w:hAnsi="Calibri" w:cs="Calibri"/>
      <w:lang w:eastAsia="x-none"/>
    </w:rPr>
  </w:style>
  <w:style w:type="paragraph" w:styleId="ae">
    <w:name w:val="footer"/>
    <w:basedOn w:val="a"/>
    <w:link w:val="af"/>
    <w:unhideWhenUsed/>
    <w:rsid w:val="006165E1"/>
    <w:pPr>
      <w:tabs>
        <w:tab w:val="center" w:pos="4153"/>
        <w:tab w:val="right" w:pos="8306"/>
      </w:tabs>
      <w:snapToGrid w:val="0"/>
    </w:pPr>
    <w:rPr>
      <w:sz w:val="18"/>
      <w:szCs w:val="18"/>
    </w:rPr>
  </w:style>
  <w:style w:type="character" w:customStyle="1" w:styleId="af">
    <w:name w:val="页脚 字符"/>
    <w:basedOn w:val="a0"/>
    <w:link w:val="ae"/>
    <w:rsid w:val="006165E1"/>
    <w:rPr>
      <w:rFonts w:eastAsia="宋体"/>
      <w:sz w:val="18"/>
      <w:szCs w:val="18"/>
      <w:lang w:val="en-GB"/>
    </w:rPr>
  </w:style>
  <w:style w:type="character" w:styleId="af0">
    <w:name w:val="Hyperlink"/>
    <w:basedOn w:val="a0"/>
    <w:qFormat/>
    <w:rsid w:val="00EF5AFA"/>
    <w:rPr>
      <w:color w:val="0000FF"/>
      <w:u w:val="single"/>
    </w:rPr>
  </w:style>
  <w:style w:type="character" w:customStyle="1" w:styleId="TALChar">
    <w:name w:val="TAL Char"/>
    <w:qFormat/>
    <w:rsid w:val="00B46BCB"/>
    <w:rPr>
      <w:rFonts w:ascii="Arial" w:eastAsia="Times New Roman" w:hAnsi="Arial"/>
      <w:sz w:val="18"/>
      <w:lang w:val="en-GB" w:eastAsia="en-GB"/>
    </w:rPr>
  </w:style>
  <w:style w:type="table" w:customStyle="1" w:styleId="11">
    <w:name w:val="网格型1"/>
    <w:basedOn w:val="a1"/>
    <w:qFormat/>
    <w:rsid w:val="00B46BCB"/>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link w:val="B2Char"/>
    <w:qFormat/>
    <w:rsid w:val="00C5394A"/>
    <w:pPr>
      <w:overflowPunct w:val="0"/>
      <w:autoSpaceDE w:val="0"/>
      <w:autoSpaceDN w:val="0"/>
      <w:adjustRightInd w:val="0"/>
      <w:ind w:leftChars="0" w:left="851" w:firstLineChars="0" w:hanging="284"/>
      <w:contextualSpacing w:val="0"/>
      <w:textAlignment w:val="baseline"/>
    </w:pPr>
    <w:rPr>
      <w:rFonts w:eastAsia="等线"/>
      <w:lang w:eastAsia="en-GB"/>
    </w:rPr>
  </w:style>
  <w:style w:type="paragraph" w:styleId="21">
    <w:name w:val="List 2"/>
    <w:basedOn w:val="a"/>
    <w:semiHidden/>
    <w:unhideWhenUsed/>
    <w:rsid w:val="00C5394A"/>
    <w:pPr>
      <w:ind w:leftChars="200" w:left="100" w:hangingChars="200" w:hanging="200"/>
      <w:contextualSpacing/>
    </w:pPr>
  </w:style>
  <w:style w:type="paragraph" w:styleId="af1">
    <w:name w:val="Normal (Web)"/>
    <w:basedOn w:val="a"/>
    <w:uiPriority w:val="99"/>
    <w:qFormat/>
    <w:rsid w:val="00285F5F"/>
    <w:pPr>
      <w:spacing w:before="100" w:beforeAutospacing="1" w:after="100" w:afterAutospacing="1"/>
    </w:pPr>
    <w:rPr>
      <w:rFonts w:eastAsia="Arial Unicode MS"/>
      <w:sz w:val="24"/>
      <w:szCs w:val="24"/>
    </w:rPr>
  </w:style>
  <w:style w:type="paragraph" w:customStyle="1" w:styleId="EQ">
    <w:name w:val="EQ"/>
    <w:basedOn w:val="a"/>
    <w:next w:val="a"/>
    <w:link w:val="EQChar"/>
    <w:qFormat/>
    <w:rsid w:val="000B3968"/>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customStyle="1" w:styleId="B1">
    <w:name w:val="B1"/>
    <w:basedOn w:val="af2"/>
    <w:link w:val="B1Char"/>
    <w:qFormat/>
    <w:rsid w:val="000B3968"/>
    <w:pPr>
      <w:overflowPunct w:val="0"/>
      <w:autoSpaceDE w:val="0"/>
      <w:autoSpaceDN w:val="0"/>
      <w:adjustRightInd w:val="0"/>
      <w:ind w:left="568" w:firstLineChars="0" w:hanging="284"/>
      <w:contextualSpacing w:val="0"/>
      <w:textAlignment w:val="baseline"/>
    </w:pPr>
    <w:rPr>
      <w:rFonts w:eastAsia="Times New Roman"/>
      <w:lang w:eastAsia="en-GB"/>
    </w:rPr>
  </w:style>
  <w:style w:type="character" w:customStyle="1" w:styleId="EQChar">
    <w:name w:val="EQ Char"/>
    <w:link w:val="EQ"/>
    <w:qFormat/>
    <w:locked/>
    <w:rsid w:val="000B3968"/>
    <w:rPr>
      <w:rFonts w:eastAsia="Times New Roman"/>
      <w:noProof/>
      <w:lang w:val="en-GB" w:eastAsia="en-GB"/>
    </w:rPr>
  </w:style>
  <w:style w:type="character" w:customStyle="1" w:styleId="B1Char">
    <w:name w:val="B1 Char"/>
    <w:link w:val="B1"/>
    <w:qFormat/>
    <w:rsid w:val="000B3968"/>
    <w:rPr>
      <w:rFonts w:eastAsia="Times New Roman"/>
      <w:lang w:val="en-GB" w:eastAsia="en-GB"/>
    </w:rPr>
  </w:style>
  <w:style w:type="character" w:customStyle="1" w:styleId="B2Char">
    <w:name w:val="B2 Char"/>
    <w:link w:val="B2"/>
    <w:qFormat/>
    <w:rsid w:val="000B3968"/>
    <w:rPr>
      <w:rFonts w:eastAsia="等线"/>
      <w:lang w:val="en-GB" w:eastAsia="en-GB"/>
    </w:rPr>
  </w:style>
  <w:style w:type="paragraph" w:styleId="af2">
    <w:name w:val="List"/>
    <w:basedOn w:val="a"/>
    <w:semiHidden/>
    <w:unhideWhenUsed/>
    <w:rsid w:val="000B3968"/>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918465">
      <w:bodyDiv w:val="1"/>
      <w:marLeft w:val="0"/>
      <w:marRight w:val="0"/>
      <w:marTop w:val="0"/>
      <w:marBottom w:val="0"/>
      <w:divBdr>
        <w:top w:val="none" w:sz="0" w:space="0" w:color="auto"/>
        <w:left w:val="none" w:sz="0" w:space="0" w:color="auto"/>
        <w:bottom w:val="none" w:sz="0" w:space="0" w:color="auto"/>
        <w:right w:val="none" w:sz="0" w:space="0" w:color="auto"/>
      </w:divBdr>
    </w:div>
    <w:div w:id="317879164">
      <w:bodyDiv w:val="1"/>
      <w:marLeft w:val="0"/>
      <w:marRight w:val="0"/>
      <w:marTop w:val="0"/>
      <w:marBottom w:val="0"/>
      <w:divBdr>
        <w:top w:val="none" w:sz="0" w:space="0" w:color="auto"/>
        <w:left w:val="none" w:sz="0" w:space="0" w:color="auto"/>
        <w:bottom w:val="none" w:sz="0" w:space="0" w:color="auto"/>
        <w:right w:val="none" w:sz="0" w:space="0" w:color="auto"/>
      </w:divBdr>
    </w:div>
    <w:div w:id="1098717696">
      <w:bodyDiv w:val="1"/>
      <w:marLeft w:val="0"/>
      <w:marRight w:val="0"/>
      <w:marTop w:val="0"/>
      <w:marBottom w:val="0"/>
      <w:divBdr>
        <w:top w:val="none" w:sz="0" w:space="0" w:color="auto"/>
        <w:left w:val="none" w:sz="0" w:space="0" w:color="auto"/>
        <w:bottom w:val="none" w:sz="0" w:space="0" w:color="auto"/>
        <w:right w:val="none" w:sz="0" w:space="0" w:color="auto"/>
      </w:divBdr>
    </w:div>
    <w:div w:id="1517307150">
      <w:bodyDiv w:val="1"/>
      <w:marLeft w:val="0"/>
      <w:marRight w:val="0"/>
      <w:marTop w:val="0"/>
      <w:marBottom w:val="0"/>
      <w:divBdr>
        <w:top w:val="none" w:sz="0" w:space="0" w:color="auto"/>
        <w:left w:val="none" w:sz="0" w:space="0" w:color="auto"/>
        <w:bottom w:val="none" w:sz="0" w:space="0" w:color="auto"/>
        <w:right w:val="none" w:sz="0" w:space="0" w:color="auto"/>
      </w:divBdr>
    </w:div>
    <w:div w:id="1672220682">
      <w:bodyDiv w:val="1"/>
      <w:marLeft w:val="0"/>
      <w:marRight w:val="0"/>
      <w:marTop w:val="0"/>
      <w:marBottom w:val="0"/>
      <w:divBdr>
        <w:top w:val="none" w:sz="0" w:space="0" w:color="auto"/>
        <w:left w:val="none" w:sz="0" w:space="0" w:color="auto"/>
        <w:bottom w:val="none" w:sz="0" w:space="0" w:color="auto"/>
        <w:right w:val="none" w:sz="0" w:space="0" w:color="auto"/>
      </w:divBdr>
    </w:div>
    <w:div w:id="2044549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unsen.tang\Downloads\3GStyleBar%20(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A5235-E38E-450B-A6C5-A4B5A79FF3BF}">
  <we:reference id="4f5fc3d5-136b-4c76-b40a-6b26653cd4f1" version="1.2.0.0" store="EnglishAssistanceProvider" storeType="Registry"/>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3GStyleBar (1).dotm</Template>
  <TotalTime>139</TotalTime>
  <Pages>3</Pages>
  <Words>609</Words>
  <Characters>3476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4077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Runsen - Samsung</dc:creator>
  <cp:keywords/>
  <dc:description/>
  <cp:lastModifiedBy>Runsen, Samsung</cp:lastModifiedBy>
  <cp:revision>20</cp:revision>
  <dcterms:created xsi:type="dcterms:W3CDTF">2025-02-07T00:36:00Z</dcterms:created>
  <dcterms:modified xsi:type="dcterms:W3CDTF">2025-02-07T14:49:00Z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